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5D9" w:rsidRPr="00C7770C" w:rsidRDefault="006C05D9" w:rsidP="00C35EB7">
      <w:pPr>
        <w:spacing w:after="0" w:line="360" w:lineRule="atLeast"/>
        <w:ind w:firstLine="454"/>
        <w:rPr>
          <w:rFonts w:ascii="Times New Roman" w:hAnsi="Times New Roman" w:cs="Times New Roman"/>
          <w:sz w:val="28"/>
          <w:szCs w:val="28"/>
          <w:lang w:val="en-GB"/>
        </w:rPr>
      </w:pPr>
      <w:r w:rsidRPr="00C7770C">
        <w:rPr>
          <w:rFonts w:ascii="Times New Roman" w:hAnsi="Times New Roman" w:cs="Times New Roman"/>
          <w:sz w:val="28"/>
          <w:szCs w:val="28"/>
          <w:lang w:val="en-GB"/>
        </w:rPr>
        <w:t>UDC 338.5</w:t>
      </w:r>
    </w:p>
    <w:p w:rsidR="006C05D9" w:rsidRPr="00C7770C" w:rsidRDefault="006C05D9" w:rsidP="007624EA">
      <w:pPr>
        <w:spacing w:after="0" w:line="360" w:lineRule="atLeast"/>
        <w:ind w:firstLine="454"/>
        <w:jc w:val="both"/>
        <w:rPr>
          <w:rFonts w:ascii="Times New Roman" w:hAnsi="Times New Roman" w:cs="Times New Roman"/>
          <w:sz w:val="28"/>
          <w:szCs w:val="28"/>
          <w:lang w:val="en-GB"/>
        </w:rPr>
      </w:pPr>
    </w:p>
    <w:p w:rsidR="006C05D9" w:rsidRPr="00C7770C" w:rsidRDefault="00C7770C" w:rsidP="007624EA">
      <w:pPr>
        <w:spacing w:after="0" w:line="360" w:lineRule="atLeast"/>
        <w:ind w:firstLine="454"/>
        <w:jc w:val="center"/>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t>E.</w:t>
      </w:r>
      <w:r w:rsidR="006C05D9" w:rsidRPr="00C7770C">
        <w:rPr>
          <w:rFonts w:ascii="Times New Roman" w:eastAsia="Calibri" w:hAnsi="Times New Roman" w:cs="Times New Roman"/>
          <w:b/>
          <w:sz w:val="28"/>
          <w:szCs w:val="28"/>
          <w:lang w:val="en-GB"/>
        </w:rPr>
        <w:t xml:space="preserve"> </w:t>
      </w:r>
      <w:proofErr w:type="spellStart"/>
      <w:r w:rsidR="006C05D9" w:rsidRPr="00C7770C">
        <w:rPr>
          <w:rFonts w:ascii="Times New Roman" w:eastAsia="Calibri" w:hAnsi="Times New Roman" w:cs="Times New Roman"/>
          <w:b/>
          <w:sz w:val="28"/>
          <w:szCs w:val="28"/>
          <w:lang w:val="en-GB"/>
        </w:rPr>
        <w:t>Gaidanovich</w:t>
      </w:r>
      <w:proofErr w:type="spellEnd"/>
    </w:p>
    <w:p w:rsidR="006C05D9" w:rsidRPr="00C7770C" w:rsidRDefault="006C05D9" w:rsidP="007624EA">
      <w:pPr>
        <w:spacing w:after="0" w:line="360" w:lineRule="atLeast"/>
        <w:ind w:firstLine="454"/>
        <w:jc w:val="both"/>
        <w:rPr>
          <w:rFonts w:ascii="Times New Roman" w:hAnsi="Times New Roman" w:cs="Times New Roman"/>
          <w:sz w:val="28"/>
          <w:szCs w:val="28"/>
          <w:lang w:val="en-GB"/>
        </w:rPr>
      </w:pPr>
    </w:p>
    <w:p w:rsidR="006C05D9" w:rsidRPr="00C7770C" w:rsidRDefault="00C35EB7" w:rsidP="007624EA">
      <w:pPr>
        <w:spacing w:after="0" w:line="360" w:lineRule="atLeast"/>
        <w:ind w:firstLine="454"/>
        <w:jc w:val="center"/>
        <w:rPr>
          <w:rFonts w:ascii="Times New Roman" w:hAnsi="Times New Roman" w:cs="Times New Roman"/>
          <w:b/>
          <w:sz w:val="28"/>
          <w:szCs w:val="28"/>
          <w:lang w:val="en-GB"/>
        </w:rPr>
      </w:pPr>
      <w:r w:rsidRPr="00C7770C">
        <w:rPr>
          <w:rFonts w:ascii="Times New Roman" w:hAnsi="Times New Roman" w:cs="Times New Roman"/>
          <w:b/>
          <w:sz w:val="28"/>
          <w:szCs w:val="28"/>
          <w:lang w:val="en-GB"/>
        </w:rPr>
        <w:t>Reducing production costs through the introduction of innovations</w:t>
      </w:r>
    </w:p>
    <w:p w:rsidR="008B6D2A" w:rsidRPr="00C7770C" w:rsidRDefault="008B6D2A" w:rsidP="007624EA">
      <w:pPr>
        <w:spacing w:after="0" w:line="360" w:lineRule="atLeast"/>
        <w:ind w:firstLine="454"/>
        <w:jc w:val="center"/>
        <w:rPr>
          <w:rFonts w:ascii="Times New Roman" w:hAnsi="Times New Roman" w:cs="Times New Roman"/>
          <w:sz w:val="28"/>
          <w:szCs w:val="28"/>
          <w:lang w:val="en-GB"/>
        </w:rPr>
      </w:pPr>
    </w:p>
    <w:p w:rsidR="00AA742F" w:rsidRPr="00C7770C" w:rsidRDefault="00552D91" w:rsidP="007624EA">
      <w:pPr>
        <w:spacing w:after="0" w:line="360" w:lineRule="atLeast"/>
        <w:ind w:firstLine="567"/>
        <w:jc w:val="both"/>
        <w:rPr>
          <w:rFonts w:ascii="Times New Roman" w:hAnsi="Times New Roman" w:cs="Times New Roman"/>
          <w:b/>
          <w:i/>
          <w:sz w:val="24"/>
          <w:szCs w:val="24"/>
          <w:lang w:val="en-GB"/>
        </w:rPr>
      </w:pPr>
      <w:r w:rsidRPr="00C7770C">
        <w:rPr>
          <w:rFonts w:ascii="Times New Roman" w:hAnsi="Times New Roman" w:cs="Times New Roman"/>
          <w:i/>
          <w:sz w:val="24"/>
          <w:szCs w:val="24"/>
          <w:lang w:val="en-GB"/>
        </w:rPr>
        <w:t xml:space="preserve">The innovative activities of Belarusian organizations were </w:t>
      </w:r>
      <w:proofErr w:type="spellStart"/>
      <w:r w:rsidRPr="00C7770C">
        <w:rPr>
          <w:rFonts w:ascii="Times New Roman" w:hAnsi="Times New Roman" w:cs="Times New Roman"/>
          <w:i/>
          <w:sz w:val="24"/>
          <w:szCs w:val="24"/>
          <w:lang w:val="en-GB"/>
        </w:rPr>
        <w:t>analyzed</w:t>
      </w:r>
      <w:proofErr w:type="spellEnd"/>
      <w:r w:rsidRPr="00C7770C">
        <w:rPr>
          <w:rFonts w:ascii="Times New Roman" w:hAnsi="Times New Roman" w:cs="Times New Roman"/>
          <w:i/>
          <w:sz w:val="24"/>
          <w:szCs w:val="24"/>
          <w:lang w:val="en-GB"/>
        </w:rPr>
        <w:t>. The necessary actions to accelerate innovation were explored, and the</w:t>
      </w:r>
      <w:bookmarkStart w:id="0" w:name="_GoBack"/>
      <w:bookmarkEnd w:id="0"/>
      <w:r w:rsidRPr="00C7770C">
        <w:rPr>
          <w:rFonts w:ascii="Times New Roman" w:hAnsi="Times New Roman" w:cs="Times New Roman"/>
          <w:i/>
          <w:sz w:val="24"/>
          <w:szCs w:val="24"/>
          <w:lang w:val="en-GB"/>
        </w:rPr>
        <w:t xml:space="preserve"> impact of innovation on reducing production costs was identified.</w:t>
      </w:r>
    </w:p>
    <w:p w:rsidR="002762E6" w:rsidRPr="00C7770C" w:rsidRDefault="002762E6" w:rsidP="007624EA">
      <w:pPr>
        <w:spacing w:after="0" w:line="360" w:lineRule="atLeast"/>
        <w:ind w:firstLine="567"/>
        <w:jc w:val="both"/>
        <w:rPr>
          <w:rFonts w:ascii="Times New Roman" w:hAnsi="Times New Roman" w:cs="Times New Roman"/>
          <w:sz w:val="28"/>
          <w:szCs w:val="28"/>
          <w:lang w:val="en-GB"/>
        </w:rPr>
      </w:pPr>
    </w:p>
    <w:p w:rsidR="00E27678" w:rsidRPr="00C7770C" w:rsidRDefault="004D0EDE" w:rsidP="00C35EB7">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At the current stage of Belarus's national economic development, the ability to compete with global market goods is a key issue. Therefore, it is essential to find ways to reduce production costs.</w:t>
      </w:r>
    </w:p>
    <w:p w:rsidR="009C1608" w:rsidRPr="00C7770C" w:rsidRDefault="00E27678" w:rsidP="00C35EB7">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 xml:space="preserve">Due to the lack of a strong raw material base, the Republic of Belarus is forced to import components necessary for the production process. This </w:t>
      </w:r>
      <w:proofErr w:type="gramStart"/>
      <w:r w:rsidRPr="00C7770C">
        <w:rPr>
          <w:rFonts w:ascii="Times New Roman" w:hAnsi="Times New Roman" w:cs="Times New Roman"/>
          <w:sz w:val="28"/>
          <w:szCs w:val="28"/>
          <w:lang w:val="en-GB"/>
        </w:rPr>
        <w:t>increases</w:t>
      </w:r>
      <w:proofErr w:type="gramEnd"/>
      <w:r w:rsidRPr="00C7770C">
        <w:rPr>
          <w:rFonts w:ascii="Times New Roman" w:hAnsi="Times New Roman" w:cs="Times New Roman"/>
          <w:sz w:val="28"/>
          <w:szCs w:val="28"/>
          <w:lang w:val="en-GB"/>
        </w:rPr>
        <w:t xml:space="preserve"> the costs that must be factored into the cost of production, leading to higher prices.</w:t>
      </w:r>
    </w:p>
    <w:p w:rsidR="00D362F3" w:rsidRPr="00C7770C" w:rsidRDefault="00AD516A" w:rsidP="00C35EB7">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One of the most effective ways to reduce production costs for enterprises in the republic is the introduction of innovations.</w:t>
      </w:r>
    </w:p>
    <w:p w:rsidR="0050202A" w:rsidRPr="00C7770C" w:rsidRDefault="004D0EDE" w:rsidP="00C35EB7">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Currently, there are factors that hinder the development of innovation in organizations:</w:t>
      </w:r>
    </w:p>
    <w:p w:rsidR="0050202A" w:rsidRPr="00C7770C" w:rsidRDefault="00C35EB7"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 xml:space="preserve">- </w:t>
      </w:r>
      <w:proofErr w:type="gramStart"/>
      <w:r w:rsidRPr="00C7770C">
        <w:rPr>
          <w:rFonts w:ascii="Times New Roman" w:hAnsi="Times New Roman" w:cs="Times New Roman"/>
          <w:sz w:val="28"/>
          <w:szCs w:val="28"/>
          <w:lang w:val="en-GB"/>
        </w:rPr>
        <w:t>lack</w:t>
      </w:r>
      <w:proofErr w:type="gramEnd"/>
      <w:r w:rsidRPr="00C7770C">
        <w:rPr>
          <w:rFonts w:ascii="Times New Roman" w:hAnsi="Times New Roman" w:cs="Times New Roman"/>
          <w:sz w:val="28"/>
          <w:szCs w:val="28"/>
          <w:lang w:val="en-GB"/>
        </w:rPr>
        <w:t xml:space="preserve"> of own funds;</w:t>
      </w:r>
    </w:p>
    <w:p w:rsidR="0050202A" w:rsidRPr="00C7770C" w:rsidRDefault="00C35EB7"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 xml:space="preserve">- </w:t>
      </w:r>
      <w:proofErr w:type="gramStart"/>
      <w:r w:rsidRPr="00C7770C">
        <w:rPr>
          <w:rFonts w:ascii="Times New Roman" w:hAnsi="Times New Roman" w:cs="Times New Roman"/>
          <w:sz w:val="28"/>
          <w:szCs w:val="28"/>
          <w:lang w:val="en-GB"/>
        </w:rPr>
        <w:t>high</w:t>
      </w:r>
      <w:proofErr w:type="gramEnd"/>
      <w:r w:rsidRPr="00C7770C">
        <w:rPr>
          <w:rFonts w:ascii="Times New Roman" w:hAnsi="Times New Roman" w:cs="Times New Roman"/>
          <w:sz w:val="28"/>
          <w:szCs w:val="28"/>
          <w:lang w:val="en-GB"/>
        </w:rPr>
        <w:t xml:space="preserve"> cost of innovations;</w:t>
      </w:r>
    </w:p>
    <w:p w:rsidR="0050202A" w:rsidRPr="00C7770C" w:rsidRDefault="00C35EB7"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 xml:space="preserve">- </w:t>
      </w:r>
      <w:proofErr w:type="gramStart"/>
      <w:r w:rsidRPr="00C7770C">
        <w:rPr>
          <w:rFonts w:ascii="Times New Roman" w:hAnsi="Times New Roman" w:cs="Times New Roman"/>
          <w:sz w:val="28"/>
          <w:szCs w:val="28"/>
          <w:lang w:val="en-GB"/>
        </w:rPr>
        <w:t>significant</w:t>
      </w:r>
      <w:proofErr w:type="gramEnd"/>
      <w:r w:rsidRPr="00C7770C">
        <w:rPr>
          <w:rFonts w:ascii="Times New Roman" w:hAnsi="Times New Roman" w:cs="Times New Roman"/>
          <w:sz w:val="28"/>
          <w:szCs w:val="28"/>
          <w:lang w:val="en-GB"/>
        </w:rPr>
        <w:t xml:space="preserve"> economic risk;</w:t>
      </w:r>
    </w:p>
    <w:p w:rsidR="0050202A" w:rsidRPr="00C7770C" w:rsidRDefault="00C35EB7"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 xml:space="preserve">- </w:t>
      </w:r>
      <w:proofErr w:type="gramStart"/>
      <w:r w:rsidRPr="00C7770C">
        <w:rPr>
          <w:rFonts w:ascii="Times New Roman" w:hAnsi="Times New Roman" w:cs="Times New Roman"/>
          <w:sz w:val="28"/>
          <w:szCs w:val="28"/>
          <w:lang w:val="en-GB"/>
        </w:rPr>
        <w:t>long</w:t>
      </w:r>
      <w:proofErr w:type="gramEnd"/>
      <w:r w:rsidRPr="00C7770C">
        <w:rPr>
          <w:rFonts w:ascii="Times New Roman" w:hAnsi="Times New Roman" w:cs="Times New Roman"/>
          <w:sz w:val="28"/>
          <w:szCs w:val="28"/>
          <w:lang w:val="en-GB"/>
        </w:rPr>
        <w:t xml:space="preserve"> payback periods for innovations;</w:t>
      </w:r>
    </w:p>
    <w:p w:rsidR="0050202A" w:rsidRPr="00C7770C" w:rsidRDefault="00C35EB7"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 xml:space="preserve">- </w:t>
      </w:r>
      <w:proofErr w:type="gramStart"/>
      <w:r w:rsidRPr="00C7770C">
        <w:rPr>
          <w:rFonts w:ascii="Times New Roman" w:hAnsi="Times New Roman" w:cs="Times New Roman"/>
          <w:sz w:val="28"/>
          <w:szCs w:val="28"/>
          <w:lang w:val="en-GB"/>
        </w:rPr>
        <w:t>lack</w:t>
      </w:r>
      <w:proofErr w:type="gramEnd"/>
      <w:r w:rsidRPr="00C7770C">
        <w:rPr>
          <w:rFonts w:ascii="Times New Roman" w:hAnsi="Times New Roman" w:cs="Times New Roman"/>
          <w:sz w:val="28"/>
          <w:szCs w:val="28"/>
          <w:lang w:val="en-GB"/>
        </w:rPr>
        <w:t xml:space="preserve"> of support from the state;</w:t>
      </w:r>
    </w:p>
    <w:p w:rsidR="0050202A" w:rsidRPr="00C7770C" w:rsidRDefault="00C35EB7"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 low innovative potential of organizations, lack of qualified personnel, low solvent demand for new types of products, underdevelopment of the technology market [1, p. 101].</w:t>
      </w:r>
    </w:p>
    <w:p w:rsidR="00035ABE" w:rsidRPr="00C7770C" w:rsidRDefault="004D0EDE" w:rsidP="007624EA">
      <w:pPr>
        <w:spacing w:after="0" w:line="360" w:lineRule="atLeast"/>
        <w:ind w:firstLine="709"/>
        <w:jc w:val="both"/>
        <w:rPr>
          <w:rFonts w:ascii="Times New Roman" w:hAnsi="Times New Roman" w:cs="Times New Roman"/>
          <w:color w:val="FF0000"/>
          <w:sz w:val="28"/>
          <w:szCs w:val="28"/>
          <w:lang w:val="en-GB"/>
        </w:rPr>
      </w:pPr>
      <w:r w:rsidRPr="00C7770C">
        <w:rPr>
          <w:rFonts w:ascii="Times New Roman" w:hAnsi="Times New Roman" w:cs="Times New Roman"/>
          <w:sz w:val="28"/>
          <w:szCs w:val="28"/>
          <w:lang w:val="en-GB"/>
        </w:rPr>
        <w:t>In 2012, 437 industrial organizations in the Republic of Belarus were engaged in innovative activities. In the service sector, 45 organizations were innovative.</w:t>
      </w:r>
    </w:p>
    <w:p w:rsidR="004546BE" w:rsidRPr="00C7770C" w:rsidRDefault="00FD294B"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In industry, the Vitebsk region leads the way with 71 innovation-active organizations, while Mogilev brings up the rear with 35. In the service sector, the Mogilev region leads with 4 innovation-active organizations, while the Minsk region (excluding the city of Minsk) has no such organizations at all. The majority of innovation-active organizations are located in the city of Minsk: 102 in industry and 34 in services [1, p. 61].</w:t>
      </w:r>
    </w:p>
    <w:p w:rsidR="00F158CF" w:rsidRPr="00C7770C" w:rsidRDefault="00F158CF"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lastRenderedPageBreak/>
        <w:t>The dynamics of changes in the number of innovation-active organizations in the Republic of Belarus are presented in Figure 1.</w:t>
      </w:r>
    </w:p>
    <w:p w:rsidR="002703DE" w:rsidRPr="00C7770C" w:rsidRDefault="002703DE" w:rsidP="007624EA">
      <w:pPr>
        <w:spacing w:after="0" w:line="360" w:lineRule="atLeast"/>
        <w:ind w:firstLine="709"/>
        <w:jc w:val="both"/>
        <w:rPr>
          <w:rFonts w:ascii="Times New Roman" w:hAnsi="Times New Roman" w:cs="Times New Roman"/>
          <w:sz w:val="28"/>
          <w:szCs w:val="28"/>
          <w:lang w:val="en-GB"/>
        </w:rPr>
      </w:pPr>
    </w:p>
    <w:p w:rsidR="006C05D9" w:rsidRPr="002703DE" w:rsidRDefault="006C05D9" w:rsidP="002703DE">
      <w:pPr>
        <w:spacing w:after="0" w:line="360" w:lineRule="atLeast"/>
        <w:ind w:firstLine="709"/>
        <w:jc w:val="both"/>
        <w:rPr>
          <w:rFonts w:ascii="Times New Roman" w:hAnsi="Times New Roman" w:cs="Times New Roman"/>
          <w:sz w:val="28"/>
          <w:szCs w:val="28"/>
        </w:rPr>
      </w:pPr>
      <w:r w:rsidRPr="00D92FB3">
        <w:rPr>
          <w:rFonts w:ascii="Times New Roman" w:hAnsi="Times New Roman" w:cs="Times New Roman"/>
          <w:noProof/>
          <w:lang w:eastAsia="ru-RU"/>
        </w:rPr>
        <w:drawing>
          <wp:inline distT="0" distB="0" distL="0" distR="0" wp14:anchorId="3C0ADF94" wp14:editId="0830030A">
            <wp:extent cx="5105400" cy="13906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6533" w:rsidRPr="00C7770C" w:rsidRDefault="00D06533" w:rsidP="007624EA">
      <w:pPr>
        <w:spacing w:after="0" w:line="360" w:lineRule="atLeast"/>
        <w:ind w:firstLine="567"/>
        <w:jc w:val="both"/>
        <w:rPr>
          <w:rFonts w:ascii="Times New Roman" w:hAnsi="Times New Roman" w:cs="Times New Roman"/>
          <w:sz w:val="28"/>
          <w:szCs w:val="28"/>
          <w:lang w:val="en-GB"/>
        </w:rPr>
      </w:pPr>
      <w:r w:rsidRPr="00C7770C">
        <w:rPr>
          <w:rFonts w:ascii="Times New Roman" w:hAnsi="Times New Roman" w:cs="Times New Roman"/>
          <w:b/>
          <w:sz w:val="28"/>
          <w:szCs w:val="28"/>
          <w:lang w:val="en-GB"/>
        </w:rPr>
        <w:t>Figure 1 –</w:t>
      </w:r>
      <w:r w:rsidRPr="00C7770C">
        <w:rPr>
          <w:rFonts w:ascii="Times New Roman" w:hAnsi="Times New Roman" w:cs="Times New Roman"/>
          <w:sz w:val="28"/>
          <w:szCs w:val="28"/>
          <w:lang w:val="en-GB"/>
        </w:rPr>
        <w:t>Innovative organizations of Belarus</w:t>
      </w:r>
    </w:p>
    <w:p w:rsidR="00A6206B" w:rsidRPr="00C7770C" w:rsidRDefault="00407490" w:rsidP="007624EA">
      <w:pPr>
        <w:spacing w:after="0" w:line="360" w:lineRule="atLeast"/>
        <w:ind w:firstLine="567"/>
        <w:jc w:val="both"/>
        <w:rPr>
          <w:rFonts w:ascii="Times New Roman" w:hAnsi="Times New Roman" w:cs="Times New Roman"/>
          <w:sz w:val="28"/>
          <w:szCs w:val="28"/>
          <w:lang w:val="en-GB"/>
        </w:rPr>
      </w:pPr>
      <w:r w:rsidRPr="00C7770C">
        <w:rPr>
          <w:rFonts w:ascii="Times New Roman" w:hAnsi="Times New Roman" w:cs="Times New Roman"/>
          <w:i/>
          <w:sz w:val="28"/>
          <w:szCs w:val="28"/>
          <w:lang w:val="en-GB"/>
        </w:rPr>
        <w:t>Source</w:t>
      </w:r>
      <w:r w:rsidRPr="00C7770C">
        <w:rPr>
          <w:rFonts w:ascii="Times New Roman" w:hAnsi="Times New Roman" w:cs="Times New Roman"/>
          <w:sz w:val="28"/>
          <w:szCs w:val="28"/>
          <w:lang w:val="en-GB"/>
        </w:rPr>
        <w:t>: the author’s own development based on data from [1, pp. 59-60].</w:t>
      </w:r>
    </w:p>
    <w:p w:rsidR="007624EA" w:rsidRPr="00C7770C" w:rsidRDefault="007624EA" w:rsidP="007624EA">
      <w:pPr>
        <w:spacing w:after="0" w:line="360" w:lineRule="atLeast"/>
        <w:ind w:firstLine="709"/>
        <w:jc w:val="both"/>
        <w:rPr>
          <w:rFonts w:ascii="Times New Roman" w:hAnsi="Times New Roman" w:cs="Times New Roman"/>
          <w:sz w:val="28"/>
          <w:szCs w:val="28"/>
          <w:lang w:val="en-GB"/>
        </w:rPr>
      </w:pPr>
    </w:p>
    <w:p w:rsidR="00F91021" w:rsidRPr="00C7770C" w:rsidRDefault="00AB5E46"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Based on the diagram, it can be concluded that the growth rate of innovative organizations in Belarus is not fast enough.</w:t>
      </w:r>
    </w:p>
    <w:p w:rsidR="00B7497B" w:rsidRPr="00C7770C" w:rsidRDefault="00B7497B" w:rsidP="007624EA">
      <w:pPr>
        <w:spacing w:after="0" w:line="360" w:lineRule="atLeast"/>
        <w:ind w:firstLine="567"/>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All sources of innovation financing in the Republic of Belarus in 2012 are presented in Figure 2.</w:t>
      </w:r>
    </w:p>
    <w:p w:rsidR="002703DE" w:rsidRPr="00C7770C" w:rsidRDefault="002703DE" w:rsidP="007624EA">
      <w:pPr>
        <w:spacing w:after="0" w:line="360" w:lineRule="atLeast"/>
        <w:ind w:firstLine="567"/>
        <w:jc w:val="both"/>
        <w:rPr>
          <w:rFonts w:ascii="Times New Roman" w:hAnsi="Times New Roman" w:cs="Times New Roman"/>
          <w:sz w:val="28"/>
          <w:szCs w:val="28"/>
          <w:lang w:val="en-GB"/>
        </w:rPr>
      </w:pPr>
    </w:p>
    <w:p w:rsidR="000F633C" w:rsidRPr="002703DE" w:rsidRDefault="000F633C" w:rsidP="002703DE">
      <w:pPr>
        <w:spacing w:after="0" w:line="360" w:lineRule="atLeast"/>
        <w:ind w:firstLine="709"/>
        <w:jc w:val="both"/>
        <w:rPr>
          <w:rFonts w:ascii="Times New Roman" w:hAnsi="Times New Roman" w:cs="Times New Roman"/>
          <w:sz w:val="28"/>
          <w:szCs w:val="28"/>
        </w:rPr>
      </w:pPr>
      <w:r>
        <w:rPr>
          <w:noProof/>
          <w:lang w:eastAsia="ru-RU"/>
        </w:rPr>
        <w:drawing>
          <wp:inline distT="0" distB="0" distL="0" distR="0" wp14:anchorId="34F15B0B" wp14:editId="2A3E889E">
            <wp:extent cx="4502150" cy="15240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770C" w:rsidRDefault="00C7770C" w:rsidP="007624EA">
      <w:pPr>
        <w:spacing w:after="0" w:line="360" w:lineRule="atLeast"/>
        <w:ind w:firstLine="567"/>
        <w:jc w:val="both"/>
        <w:rPr>
          <w:rFonts w:ascii="Times New Roman" w:hAnsi="Times New Roman" w:cs="Times New Roman"/>
          <w:b/>
          <w:sz w:val="28"/>
          <w:szCs w:val="28"/>
          <w:lang w:val="en-GB"/>
        </w:rPr>
      </w:pPr>
    </w:p>
    <w:p w:rsidR="00B81F7B" w:rsidRPr="00C7770C" w:rsidRDefault="00B81F7B" w:rsidP="007624EA">
      <w:pPr>
        <w:spacing w:after="0" w:line="360" w:lineRule="atLeast"/>
        <w:ind w:firstLine="567"/>
        <w:jc w:val="both"/>
        <w:rPr>
          <w:rFonts w:ascii="Times New Roman" w:hAnsi="Times New Roman" w:cs="Times New Roman"/>
          <w:sz w:val="28"/>
          <w:szCs w:val="28"/>
          <w:lang w:val="en-GB"/>
        </w:rPr>
      </w:pPr>
      <w:r w:rsidRPr="00C7770C">
        <w:rPr>
          <w:rFonts w:ascii="Times New Roman" w:hAnsi="Times New Roman" w:cs="Times New Roman"/>
          <w:b/>
          <w:sz w:val="28"/>
          <w:szCs w:val="28"/>
          <w:lang w:val="en-GB"/>
        </w:rPr>
        <w:t>Figure 2 –</w:t>
      </w:r>
      <w:r w:rsidR="00C7770C" w:rsidRPr="00C7770C">
        <w:rPr>
          <w:rFonts w:ascii="Times New Roman" w:hAnsi="Times New Roman" w:cs="Times New Roman"/>
          <w:b/>
          <w:sz w:val="28"/>
          <w:szCs w:val="28"/>
          <w:lang w:val="en-GB"/>
        </w:rPr>
        <w:t xml:space="preserve"> </w:t>
      </w:r>
      <w:r w:rsidRPr="00C7770C">
        <w:rPr>
          <w:rFonts w:ascii="Times New Roman" w:hAnsi="Times New Roman" w:cs="Times New Roman"/>
          <w:sz w:val="28"/>
          <w:szCs w:val="28"/>
          <w:lang w:val="en-GB"/>
        </w:rPr>
        <w:t>Current structure of funding sources, in %</w:t>
      </w:r>
    </w:p>
    <w:p w:rsidR="000F633C" w:rsidRPr="00C7770C" w:rsidRDefault="00F91021" w:rsidP="007624EA">
      <w:pPr>
        <w:spacing w:after="0" w:line="360" w:lineRule="atLeast"/>
        <w:ind w:firstLine="567"/>
        <w:jc w:val="both"/>
        <w:rPr>
          <w:rFonts w:ascii="Times New Roman" w:hAnsi="Times New Roman" w:cs="Times New Roman"/>
          <w:sz w:val="28"/>
          <w:szCs w:val="28"/>
          <w:lang w:val="en-GB"/>
        </w:rPr>
      </w:pPr>
      <w:r w:rsidRPr="00C7770C">
        <w:rPr>
          <w:rFonts w:ascii="Times New Roman" w:hAnsi="Times New Roman" w:cs="Times New Roman"/>
          <w:i/>
          <w:sz w:val="28"/>
          <w:szCs w:val="28"/>
          <w:lang w:val="en-GB"/>
        </w:rPr>
        <w:t>Source</w:t>
      </w:r>
      <w:r w:rsidRPr="00C7770C">
        <w:rPr>
          <w:rFonts w:ascii="Times New Roman" w:hAnsi="Times New Roman" w:cs="Times New Roman"/>
          <w:sz w:val="28"/>
          <w:szCs w:val="28"/>
          <w:lang w:val="en-GB"/>
        </w:rPr>
        <w:t>: the author’s own development based on data from [1, p. 77].</w:t>
      </w:r>
    </w:p>
    <w:p w:rsidR="007624EA" w:rsidRPr="00C7770C" w:rsidRDefault="007624EA" w:rsidP="007624EA">
      <w:pPr>
        <w:spacing w:after="0" w:line="360" w:lineRule="atLeast"/>
        <w:ind w:firstLine="709"/>
        <w:jc w:val="both"/>
        <w:rPr>
          <w:rFonts w:ascii="Times New Roman" w:hAnsi="Times New Roman" w:cs="Times New Roman"/>
          <w:sz w:val="28"/>
          <w:szCs w:val="28"/>
          <w:lang w:val="en-GB"/>
        </w:rPr>
      </w:pPr>
    </w:p>
    <w:p w:rsidR="00F91021" w:rsidRPr="00C7770C" w:rsidRDefault="00F91021"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 xml:space="preserve">It is necessary to increase the share of funds from the republican and local budgets, in particular from the innovation funds created within them.  </w:t>
      </w:r>
    </w:p>
    <w:p w:rsidR="00D42594" w:rsidRPr="00C7770C" w:rsidRDefault="00DE680F" w:rsidP="007624EA">
      <w:pPr>
        <w:spacing w:after="0" w:line="360" w:lineRule="atLeast"/>
        <w:ind w:firstLine="567"/>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To determine the position of Belarus in the field of innovation, it is necessary to compare it with countries of the world (Table 1).</w:t>
      </w:r>
    </w:p>
    <w:p w:rsidR="002703DE" w:rsidRPr="00C7770C" w:rsidRDefault="002703DE" w:rsidP="007624EA">
      <w:pPr>
        <w:spacing w:after="0" w:line="360" w:lineRule="atLeast"/>
        <w:ind w:firstLine="709"/>
        <w:jc w:val="both"/>
        <w:rPr>
          <w:rFonts w:ascii="Times New Roman" w:hAnsi="Times New Roman" w:cs="Times New Roman"/>
          <w:sz w:val="28"/>
          <w:szCs w:val="28"/>
          <w:lang w:val="en-GB"/>
        </w:rPr>
      </w:pPr>
    </w:p>
    <w:p w:rsidR="00657B53" w:rsidRPr="00C7770C" w:rsidRDefault="00B81F7B"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Table 1 – Comparison of the main indicators of innovation activity of Belarus and foreign countries, in %</w:t>
      </w:r>
    </w:p>
    <w:p w:rsidR="00B6408D" w:rsidRPr="00C7770C" w:rsidRDefault="00B6408D" w:rsidP="002703DE">
      <w:pPr>
        <w:spacing w:after="0" w:line="360" w:lineRule="atLeast"/>
        <w:ind w:firstLine="709"/>
        <w:jc w:val="both"/>
        <w:rPr>
          <w:rFonts w:ascii="Times New Roman" w:hAnsi="Times New Roman" w:cs="Times New Roman"/>
          <w:sz w:val="28"/>
          <w:szCs w:val="28"/>
          <w:lang w:val="en-GB"/>
        </w:rPr>
      </w:pPr>
    </w:p>
    <w:tbl>
      <w:tblPr>
        <w:tblStyle w:val="a4"/>
        <w:tblW w:w="6237" w:type="dxa"/>
        <w:tblInd w:w="1706" w:type="dxa"/>
        <w:tblLook w:val="04A0" w:firstRow="1" w:lastRow="0" w:firstColumn="1" w:lastColumn="0" w:noHBand="0" w:noVBand="1"/>
      </w:tblPr>
      <w:tblGrid>
        <w:gridCol w:w="1804"/>
        <w:gridCol w:w="2073"/>
        <w:gridCol w:w="2360"/>
      </w:tblGrid>
      <w:tr w:rsidR="008D4538" w:rsidRPr="00C7770C" w:rsidTr="002B6074">
        <w:tc>
          <w:tcPr>
            <w:tcW w:w="1804" w:type="dxa"/>
          </w:tcPr>
          <w:p w:rsidR="008D4538" w:rsidRPr="00C35EB7" w:rsidRDefault="008D4538" w:rsidP="00C35EB7">
            <w:pPr>
              <w:spacing w:line="360" w:lineRule="atLeast"/>
              <w:jc w:val="both"/>
              <w:rPr>
                <w:rFonts w:ascii="Times New Roman" w:hAnsi="Times New Roman" w:cs="Times New Roman"/>
                <w:sz w:val="24"/>
                <w:szCs w:val="24"/>
              </w:rPr>
            </w:pPr>
            <w:proofErr w:type="spellStart"/>
            <w:r w:rsidRPr="00C35EB7">
              <w:rPr>
                <w:rFonts w:ascii="Times New Roman" w:hAnsi="Times New Roman" w:cs="Times New Roman"/>
                <w:sz w:val="24"/>
                <w:szCs w:val="24"/>
              </w:rPr>
              <w:t>Country</w:t>
            </w:r>
            <w:proofErr w:type="spellEnd"/>
          </w:p>
        </w:tc>
        <w:tc>
          <w:tcPr>
            <w:tcW w:w="2073" w:type="dxa"/>
          </w:tcPr>
          <w:p w:rsidR="008D4538" w:rsidRPr="00C7770C" w:rsidRDefault="008D4538" w:rsidP="00C35EB7">
            <w:pPr>
              <w:spacing w:line="360" w:lineRule="atLeast"/>
              <w:jc w:val="center"/>
              <w:rPr>
                <w:rFonts w:ascii="Times New Roman" w:hAnsi="Times New Roman" w:cs="Times New Roman"/>
                <w:sz w:val="24"/>
                <w:szCs w:val="24"/>
                <w:lang w:val="en-GB"/>
              </w:rPr>
            </w:pPr>
            <w:r w:rsidRPr="00C7770C">
              <w:rPr>
                <w:rFonts w:ascii="Times New Roman" w:hAnsi="Times New Roman" w:cs="Times New Roman"/>
                <w:sz w:val="24"/>
                <w:szCs w:val="24"/>
                <w:lang w:val="en-GB"/>
              </w:rPr>
              <w:t xml:space="preserve">The share of innovative </w:t>
            </w:r>
            <w:r w:rsidRPr="00C7770C">
              <w:rPr>
                <w:rFonts w:ascii="Times New Roman" w:hAnsi="Times New Roman" w:cs="Times New Roman"/>
                <w:sz w:val="24"/>
                <w:szCs w:val="24"/>
                <w:lang w:val="en-GB"/>
              </w:rPr>
              <w:lastRenderedPageBreak/>
              <w:t>organizations in the total number of surveyed organizations</w:t>
            </w:r>
          </w:p>
        </w:tc>
        <w:tc>
          <w:tcPr>
            <w:tcW w:w="2360" w:type="dxa"/>
          </w:tcPr>
          <w:p w:rsidR="008D4538" w:rsidRPr="00C7770C" w:rsidRDefault="008D4538" w:rsidP="00C35EB7">
            <w:pPr>
              <w:spacing w:line="360" w:lineRule="atLeast"/>
              <w:jc w:val="center"/>
              <w:rPr>
                <w:rFonts w:ascii="Times New Roman" w:hAnsi="Times New Roman" w:cs="Times New Roman"/>
                <w:sz w:val="24"/>
                <w:szCs w:val="24"/>
                <w:lang w:val="en-GB"/>
              </w:rPr>
            </w:pPr>
            <w:r w:rsidRPr="00C7770C">
              <w:rPr>
                <w:rFonts w:ascii="Times New Roman" w:hAnsi="Times New Roman" w:cs="Times New Roman"/>
                <w:sz w:val="24"/>
                <w:szCs w:val="24"/>
                <w:lang w:val="en-GB"/>
              </w:rPr>
              <w:lastRenderedPageBreak/>
              <w:t xml:space="preserve">The share of shipped innovative products </w:t>
            </w:r>
            <w:r w:rsidRPr="00C7770C">
              <w:rPr>
                <w:rFonts w:ascii="Times New Roman" w:hAnsi="Times New Roman" w:cs="Times New Roman"/>
                <w:sz w:val="24"/>
                <w:szCs w:val="24"/>
                <w:lang w:val="en-GB"/>
              </w:rPr>
              <w:lastRenderedPageBreak/>
              <w:t>in the total volume of shipped products</w:t>
            </w:r>
          </w:p>
        </w:tc>
      </w:tr>
      <w:tr w:rsidR="008D4538" w:rsidRPr="00C35EB7" w:rsidTr="002B6074">
        <w:tc>
          <w:tcPr>
            <w:tcW w:w="1804" w:type="dxa"/>
          </w:tcPr>
          <w:p w:rsidR="008D4538" w:rsidRPr="00C35EB7" w:rsidRDefault="008D4538" w:rsidP="00C35EB7">
            <w:pPr>
              <w:spacing w:line="360" w:lineRule="atLeast"/>
              <w:rPr>
                <w:rFonts w:ascii="Times New Roman" w:hAnsi="Times New Roman" w:cs="Times New Roman"/>
                <w:sz w:val="24"/>
                <w:szCs w:val="24"/>
              </w:rPr>
            </w:pPr>
            <w:proofErr w:type="spellStart"/>
            <w:r w:rsidRPr="00C35EB7">
              <w:rPr>
                <w:rFonts w:ascii="Times New Roman" w:hAnsi="Times New Roman" w:cs="Times New Roman"/>
                <w:sz w:val="24"/>
                <w:szCs w:val="24"/>
              </w:rPr>
              <w:lastRenderedPageBreak/>
              <w:t>Belarus</w:t>
            </w:r>
            <w:proofErr w:type="spellEnd"/>
          </w:p>
        </w:tc>
        <w:tc>
          <w:tcPr>
            <w:tcW w:w="2073" w:type="dxa"/>
          </w:tcPr>
          <w:p w:rsidR="008D4538" w:rsidRPr="00C35EB7" w:rsidRDefault="008D4538"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22.8</w:t>
            </w:r>
          </w:p>
        </w:tc>
        <w:tc>
          <w:tcPr>
            <w:tcW w:w="2360" w:type="dxa"/>
          </w:tcPr>
          <w:p w:rsidR="008D4538" w:rsidRPr="00C35EB7" w:rsidRDefault="008D4538"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17.8</w:t>
            </w:r>
          </w:p>
        </w:tc>
      </w:tr>
      <w:tr w:rsidR="008D4538" w:rsidRPr="00C35EB7" w:rsidTr="002B6074">
        <w:tc>
          <w:tcPr>
            <w:tcW w:w="1804" w:type="dxa"/>
          </w:tcPr>
          <w:p w:rsidR="008D4538" w:rsidRPr="00C35EB7" w:rsidRDefault="008D4538"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Russia</w:t>
            </w:r>
          </w:p>
        </w:tc>
        <w:tc>
          <w:tcPr>
            <w:tcW w:w="2073" w:type="dxa"/>
          </w:tcPr>
          <w:p w:rsidR="008D4538" w:rsidRPr="00C35EB7" w:rsidRDefault="008D4538"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9.3</w:t>
            </w:r>
          </w:p>
        </w:tc>
        <w:tc>
          <w:tcPr>
            <w:tcW w:w="2360" w:type="dxa"/>
          </w:tcPr>
          <w:p w:rsidR="008D4538" w:rsidRPr="00C35EB7" w:rsidRDefault="008D4538"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41.3</w:t>
            </w:r>
          </w:p>
        </w:tc>
      </w:tr>
      <w:tr w:rsidR="00DE680F" w:rsidRPr="00C35EB7" w:rsidTr="002B6074">
        <w:tc>
          <w:tcPr>
            <w:tcW w:w="1804" w:type="dxa"/>
          </w:tcPr>
          <w:p w:rsidR="00DE680F" w:rsidRPr="00C35EB7" w:rsidRDefault="00DE680F"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Germany</w:t>
            </w:r>
          </w:p>
        </w:tc>
        <w:tc>
          <w:tcPr>
            <w:tcW w:w="2073" w:type="dxa"/>
          </w:tcPr>
          <w:p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65.8</w:t>
            </w:r>
          </w:p>
        </w:tc>
        <w:tc>
          <w:tcPr>
            <w:tcW w:w="2360" w:type="dxa"/>
          </w:tcPr>
          <w:p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87.9</w:t>
            </w:r>
          </w:p>
        </w:tc>
      </w:tr>
      <w:tr w:rsidR="00DE680F" w:rsidRPr="00C35EB7" w:rsidTr="002B6074">
        <w:tc>
          <w:tcPr>
            <w:tcW w:w="1804" w:type="dxa"/>
          </w:tcPr>
          <w:p w:rsidR="00DE680F" w:rsidRPr="00C35EB7" w:rsidRDefault="00DE680F"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Norway</w:t>
            </w:r>
          </w:p>
        </w:tc>
        <w:tc>
          <w:tcPr>
            <w:tcW w:w="2073" w:type="dxa"/>
          </w:tcPr>
          <w:p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39.3</w:t>
            </w:r>
          </w:p>
        </w:tc>
        <w:tc>
          <w:tcPr>
            <w:tcW w:w="2360" w:type="dxa"/>
          </w:tcPr>
          <w:p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78</w:t>
            </w:r>
          </w:p>
        </w:tc>
      </w:tr>
      <w:tr w:rsidR="00DE680F" w:rsidRPr="00C35EB7" w:rsidTr="002B6074">
        <w:tc>
          <w:tcPr>
            <w:tcW w:w="1804" w:type="dxa"/>
          </w:tcPr>
          <w:p w:rsidR="00DE680F" w:rsidRPr="00C35EB7" w:rsidRDefault="00DE680F"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Finland</w:t>
            </w:r>
          </w:p>
        </w:tc>
        <w:tc>
          <w:tcPr>
            <w:tcW w:w="2073" w:type="dxa"/>
          </w:tcPr>
          <w:p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48.6</w:t>
            </w:r>
          </w:p>
        </w:tc>
        <w:tc>
          <w:tcPr>
            <w:tcW w:w="2360" w:type="dxa"/>
          </w:tcPr>
          <w:p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87.4</w:t>
            </w:r>
          </w:p>
        </w:tc>
      </w:tr>
      <w:tr w:rsidR="00DE680F" w:rsidRPr="00C35EB7" w:rsidTr="002B6074">
        <w:tc>
          <w:tcPr>
            <w:tcW w:w="1804" w:type="dxa"/>
          </w:tcPr>
          <w:p w:rsidR="00DE680F" w:rsidRPr="00C35EB7" w:rsidRDefault="00DE680F"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France</w:t>
            </w:r>
          </w:p>
        </w:tc>
        <w:tc>
          <w:tcPr>
            <w:tcW w:w="2073" w:type="dxa"/>
          </w:tcPr>
          <w:p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45.5</w:t>
            </w:r>
          </w:p>
        </w:tc>
        <w:tc>
          <w:tcPr>
            <w:tcW w:w="2360" w:type="dxa"/>
          </w:tcPr>
          <w:p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78.4</w:t>
            </w:r>
          </w:p>
        </w:tc>
      </w:tr>
      <w:tr w:rsidR="00DE680F" w:rsidRPr="00C35EB7" w:rsidTr="002B6074">
        <w:trPr>
          <w:trHeight w:val="104"/>
        </w:trPr>
        <w:tc>
          <w:tcPr>
            <w:tcW w:w="1804" w:type="dxa"/>
          </w:tcPr>
          <w:p w:rsidR="00DE680F" w:rsidRPr="00C35EB7" w:rsidRDefault="00DE680F"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Sweden</w:t>
            </w:r>
          </w:p>
        </w:tc>
        <w:tc>
          <w:tcPr>
            <w:tcW w:w="2073" w:type="dxa"/>
          </w:tcPr>
          <w:p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47.2</w:t>
            </w:r>
          </w:p>
        </w:tc>
        <w:tc>
          <w:tcPr>
            <w:tcW w:w="2360" w:type="dxa"/>
          </w:tcPr>
          <w:p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85.6</w:t>
            </w:r>
          </w:p>
        </w:tc>
      </w:tr>
    </w:tbl>
    <w:p w:rsidR="00B6408D" w:rsidRPr="002703DE" w:rsidRDefault="00B6408D" w:rsidP="002703DE">
      <w:pPr>
        <w:spacing w:after="0" w:line="360" w:lineRule="atLeast"/>
        <w:ind w:firstLine="709"/>
        <w:jc w:val="both"/>
        <w:rPr>
          <w:rFonts w:ascii="Times New Roman" w:hAnsi="Times New Roman" w:cs="Times New Roman"/>
          <w:sz w:val="28"/>
          <w:szCs w:val="28"/>
        </w:rPr>
      </w:pPr>
    </w:p>
    <w:p w:rsidR="00407490" w:rsidRPr="00C7770C" w:rsidRDefault="00407490"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i/>
          <w:sz w:val="28"/>
          <w:szCs w:val="28"/>
          <w:lang w:val="en-GB"/>
        </w:rPr>
        <w:t>Source:</w:t>
      </w:r>
      <w:r w:rsidR="00C7770C">
        <w:rPr>
          <w:rFonts w:ascii="Times New Roman" w:hAnsi="Times New Roman" w:cs="Times New Roman"/>
          <w:i/>
          <w:sz w:val="28"/>
          <w:szCs w:val="28"/>
          <w:lang w:val="en-GB"/>
        </w:rPr>
        <w:t xml:space="preserve"> </w:t>
      </w:r>
      <w:r w:rsidR="00D362F3" w:rsidRPr="00C7770C">
        <w:rPr>
          <w:rFonts w:ascii="Times New Roman" w:hAnsi="Times New Roman" w:cs="Times New Roman"/>
          <w:sz w:val="28"/>
          <w:szCs w:val="28"/>
          <w:lang w:val="en-GB"/>
        </w:rPr>
        <w:t>the author’s own development based on data from [1, p. 111].</w:t>
      </w:r>
    </w:p>
    <w:p w:rsidR="007624EA" w:rsidRPr="00C7770C" w:rsidRDefault="007624EA" w:rsidP="007624EA">
      <w:pPr>
        <w:spacing w:after="0" w:line="360" w:lineRule="atLeast"/>
        <w:ind w:firstLine="709"/>
        <w:jc w:val="both"/>
        <w:rPr>
          <w:rFonts w:ascii="Times New Roman" w:hAnsi="Times New Roman" w:cs="Times New Roman"/>
          <w:sz w:val="28"/>
          <w:szCs w:val="28"/>
          <w:lang w:val="en-GB"/>
        </w:rPr>
      </w:pPr>
    </w:p>
    <w:p w:rsidR="00DE680F" w:rsidRPr="00C7770C" w:rsidRDefault="00DE680F"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Of course, it is obvious that the share of innovatively active organizations in Belarus is 2-3 times smaller than in European countries (except Russia), and the share of shipped innovative products is 3-4 times smaller.</w:t>
      </w:r>
    </w:p>
    <w:p w:rsidR="0023555C" w:rsidRPr="00C7770C" w:rsidRDefault="0023555C" w:rsidP="007624EA">
      <w:pPr>
        <w:spacing w:after="0" w:line="360" w:lineRule="atLeast"/>
        <w:ind w:firstLine="709"/>
        <w:jc w:val="both"/>
        <w:rPr>
          <w:rFonts w:ascii="Times New Roman" w:hAnsi="Times New Roman" w:cs="Times New Roman"/>
          <w:sz w:val="28"/>
          <w:szCs w:val="28"/>
          <w:lang w:val="en-GB"/>
        </w:rPr>
      </w:pPr>
    </w:p>
    <w:p w:rsidR="0023555C" w:rsidRPr="00C7770C" w:rsidRDefault="00C7770C" w:rsidP="007624EA">
      <w:pPr>
        <w:spacing w:after="0" w:line="360" w:lineRule="atLeast"/>
        <w:ind w:firstLine="709"/>
        <w:jc w:val="center"/>
        <w:rPr>
          <w:rFonts w:ascii="Times New Roman" w:hAnsi="Times New Roman" w:cs="Times New Roman"/>
          <w:i/>
          <w:sz w:val="28"/>
          <w:szCs w:val="28"/>
          <w:lang w:val="en-GB"/>
        </w:rPr>
      </w:pPr>
      <w:r>
        <w:rPr>
          <w:rFonts w:ascii="Times New Roman" w:hAnsi="Times New Roman" w:cs="Times New Roman"/>
          <w:i/>
          <w:sz w:val="28"/>
          <w:szCs w:val="28"/>
          <w:lang w:val="en-GB"/>
        </w:rPr>
        <w:t>List of references</w:t>
      </w:r>
      <w:r w:rsidR="0023555C" w:rsidRPr="00C7770C">
        <w:rPr>
          <w:rFonts w:ascii="Times New Roman" w:hAnsi="Times New Roman" w:cs="Times New Roman"/>
          <w:i/>
          <w:sz w:val="28"/>
          <w:szCs w:val="28"/>
          <w:lang w:val="en-GB"/>
        </w:rPr>
        <w:t xml:space="preserve"> *</w:t>
      </w:r>
    </w:p>
    <w:p w:rsidR="00CD0312" w:rsidRPr="00C7770C" w:rsidRDefault="0023555C" w:rsidP="007624EA">
      <w:pPr>
        <w:spacing w:after="0" w:line="360" w:lineRule="atLeast"/>
        <w:ind w:firstLine="709"/>
        <w:jc w:val="both"/>
        <w:rPr>
          <w:rFonts w:ascii="Times New Roman" w:hAnsi="Times New Roman" w:cs="Times New Roman"/>
          <w:sz w:val="28"/>
          <w:szCs w:val="28"/>
          <w:lang w:val="en-GB"/>
        </w:rPr>
      </w:pPr>
      <w:r w:rsidRPr="00C7770C">
        <w:rPr>
          <w:rFonts w:ascii="Times New Roman" w:hAnsi="Times New Roman" w:cs="Times New Roman"/>
          <w:sz w:val="28"/>
          <w:szCs w:val="28"/>
          <w:lang w:val="en-GB"/>
        </w:rPr>
        <w:t xml:space="preserve">1. Science and innovation activity in the Republic of Belarus 2013: stat. collection / V.I. </w:t>
      </w:r>
      <w:proofErr w:type="spellStart"/>
      <w:r w:rsidRPr="00C7770C">
        <w:rPr>
          <w:rFonts w:ascii="Times New Roman" w:hAnsi="Times New Roman" w:cs="Times New Roman"/>
          <w:sz w:val="28"/>
          <w:szCs w:val="28"/>
          <w:lang w:val="en-GB"/>
        </w:rPr>
        <w:t>Zinovsky</w:t>
      </w:r>
      <w:proofErr w:type="spellEnd"/>
      <w:r w:rsidRPr="00C7770C">
        <w:rPr>
          <w:rFonts w:ascii="Times New Roman" w:hAnsi="Times New Roman" w:cs="Times New Roman"/>
          <w:sz w:val="28"/>
          <w:szCs w:val="28"/>
          <w:lang w:val="en-GB"/>
        </w:rPr>
        <w:t xml:space="preserve"> [et al.]. – Minsk: National Statistical Committee of the Republic of Belarus, 2013. – 118 p.</w:t>
      </w:r>
    </w:p>
    <w:p w:rsidR="005D7BA2" w:rsidRPr="00C7770C" w:rsidRDefault="005D7BA2" w:rsidP="007624EA">
      <w:pPr>
        <w:spacing w:after="0" w:line="360" w:lineRule="atLeast"/>
        <w:ind w:firstLine="709"/>
        <w:jc w:val="both"/>
        <w:rPr>
          <w:rFonts w:ascii="Times New Roman" w:hAnsi="Times New Roman" w:cs="Times New Roman"/>
          <w:sz w:val="28"/>
          <w:szCs w:val="28"/>
          <w:lang w:val="en-GB"/>
        </w:rPr>
      </w:pPr>
    </w:p>
    <w:p w:rsidR="008B6D2A" w:rsidRPr="00C35EB7" w:rsidRDefault="008B6D2A" w:rsidP="007624EA">
      <w:pPr>
        <w:spacing w:after="0" w:line="360" w:lineRule="atLeast"/>
        <w:ind w:firstLine="709"/>
        <w:jc w:val="both"/>
        <w:rPr>
          <w:rFonts w:ascii="Times New Roman" w:hAnsi="Times New Roman" w:cs="Times New Roman"/>
          <w:i/>
          <w:sz w:val="24"/>
          <w:szCs w:val="24"/>
          <w:lang w:val="en-US"/>
        </w:rPr>
      </w:pPr>
      <w:r w:rsidRPr="00C35EB7">
        <w:rPr>
          <w:rFonts w:ascii="Times New Roman" w:hAnsi="Times New Roman" w:cs="Times New Roman"/>
          <w:i/>
          <w:sz w:val="24"/>
          <w:szCs w:val="24"/>
          <w:lang w:val="en-US"/>
        </w:rPr>
        <w:t>The article analyzes the innovation activities of enterprises of the Republic of Belarus. Investigated the necessary steps to accelerate innovation and revealed the effect of innovation on the reduction of production costs.</w:t>
      </w:r>
    </w:p>
    <w:p w:rsidR="008B6D2A" w:rsidRPr="002703DE" w:rsidRDefault="008B6D2A" w:rsidP="007624EA">
      <w:pPr>
        <w:spacing w:after="0" w:line="360" w:lineRule="atLeast"/>
        <w:ind w:firstLine="709"/>
        <w:jc w:val="both"/>
        <w:rPr>
          <w:rFonts w:ascii="Times New Roman" w:hAnsi="Times New Roman" w:cs="Times New Roman"/>
          <w:sz w:val="28"/>
          <w:szCs w:val="28"/>
          <w:lang w:val="en-US"/>
        </w:rPr>
      </w:pPr>
    </w:p>
    <w:p w:rsidR="001D0845" w:rsidRPr="00C7770C" w:rsidRDefault="001D0845" w:rsidP="007624EA">
      <w:pPr>
        <w:spacing w:after="0" w:line="360" w:lineRule="atLeast"/>
        <w:ind w:firstLine="709"/>
        <w:jc w:val="both"/>
        <w:rPr>
          <w:rFonts w:ascii="Times New Roman" w:hAnsi="Times New Roman" w:cs="Times New Roman"/>
          <w:sz w:val="24"/>
          <w:szCs w:val="24"/>
          <w:lang w:val="en-GB"/>
        </w:rPr>
      </w:pPr>
      <w:proofErr w:type="spellStart"/>
      <w:proofErr w:type="gramStart"/>
      <w:r w:rsidRPr="00C7770C">
        <w:rPr>
          <w:rFonts w:ascii="Times New Roman" w:hAnsi="Times New Roman" w:cs="Times New Roman"/>
          <w:b/>
          <w:i/>
          <w:sz w:val="24"/>
          <w:szCs w:val="24"/>
          <w:lang w:val="en-GB"/>
        </w:rPr>
        <w:t>Gaidanovich</w:t>
      </w:r>
      <w:proofErr w:type="spellEnd"/>
      <w:r w:rsidRPr="00C7770C">
        <w:rPr>
          <w:rFonts w:ascii="Times New Roman" w:hAnsi="Times New Roman" w:cs="Times New Roman"/>
          <w:b/>
          <w:i/>
          <w:sz w:val="24"/>
          <w:szCs w:val="24"/>
          <w:lang w:val="en-GB"/>
        </w:rPr>
        <w:t xml:space="preserve"> </w:t>
      </w:r>
      <w:proofErr w:type="spellStart"/>
      <w:r w:rsidRPr="00C7770C">
        <w:rPr>
          <w:rFonts w:ascii="Times New Roman" w:hAnsi="Times New Roman" w:cs="Times New Roman"/>
          <w:b/>
          <w:i/>
          <w:sz w:val="24"/>
          <w:szCs w:val="24"/>
          <w:lang w:val="en-GB"/>
        </w:rPr>
        <w:t>Evgeniy</w:t>
      </w:r>
      <w:proofErr w:type="spellEnd"/>
      <w:r w:rsidRPr="00C7770C">
        <w:rPr>
          <w:rFonts w:ascii="Times New Roman" w:hAnsi="Times New Roman" w:cs="Times New Roman"/>
          <w:b/>
          <w:i/>
          <w:sz w:val="24"/>
          <w:szCs w:val="24"/>
          <w:lang w:val="en-GB"/>
        </w:rPr>
        <w:t xml:space="preserve"> </w:t>
      </w:r>
      <w:proofErr w:type="spellStart"/>
      <w:r w:rsidRPr="00C7770C">
        <w:rPr>
          <w:rFonts w:ascii="Times New Roman" w:hAnsi="Times New Roman" w:cs="Times New Roman"/>
          <w:b/>
          <w:i/>
          <w:sz w:val="24"/>
          <w:szCs w:val="24"/>
          <w:lang w:val="en-GB"/>
        </w:rPr>
        <w:t>Olegovich</w:t>
      </w:r>
      <w:proofErr w:type="spellEnd"/>
      <w:r w:rsidRPr="00C7770C">
        <w:rPr>
          <w:rFonts w:ascii="Times New Roman" w:hAnsi="Times New Roman" w:cs="Times New Roman"/>
          <w:b/>
          <w:i/>
          <w:sz w:val="24"/>
          <w:szCs w:val="24"/>
          <w:lang w:val="en-GB"/>
        </w:rPr>
        <w:t>,</w:t>
      </w:r>
      <w:r w:rsidR="00C7770C">
        <w:rPr>
          <w:rFonts w:ascii="Times New Roman" w:hAnsi="Times New Roman" w:cs="Times New Roman"/>
          <w:b/>
          <w:i/>
          <w:sz w:val="24"/>
          <w:szCs w:val="24"/>
          <w:lang w:val="en-GB"/>
        </w:rPr>
        <w:t xml:space="preserve"> </w:t>
      </w:r>
      <w:r w:rsidRPr="00C7770C">
        <w:rPr>
          <w:rFonts w:ascii="Times New Roman" w:hAnsi="Times New Roman" w:cs="Times New Roman"/>
          <w:sz w:val="24"/>
          <w:szCs w:val="24"/>
          <w:lang w:val="en-GB"/>
        </w:rPr>
        <w:t>3rd</w:t>
      </w:r>
      <w:r w:rsidR="00C7770C">
        <w:rPr>
          <w:rFonts w:ascii="Times New Roman" w:hAnsi="Times New Roman" w:cs="Times New Roman"/>
          <w:sz w:val="24"/>
          <w:szCs w:val="24"/>
          <w:lang w:val="en-GB"/>
        </w:rPr>
        <w:t xml:space="preserve">-year student of the specialty </w:t>
      </w:r>
      <w:r w:rsidR="00C7770C" w:rsidRPr="00C7770C">
        <w:rPr>
          <w:rFonts w:ascii="Times New Roman" w:hAnsi="Times New Roman" w:cs="Times New Roman"/>
          <w:sz w:val="24"/>
          <w:szCs w:val="24"/>
          <w:lang w:val="en-GB"/>
        </w:rPr>
        <w:t>«</w:t>
      </w:r>
      <w:r w:rsidRPr="00C7770C">
        <w:rPr>
          <w:rFonts w:ascii="Times New Roman" w:hAnsi="Times New Roman" w:cs="Times New Roman"/>
          <w:sz w:val="24"/>
          <w:szCs w:val="24"/>
          <w:lang w:val="en-GB"/>
        </w:rPr>
        <w:t>Economic</w:t>
      </w:r>
      <w:r w:rsidR="00C7770C">
        <w:rPr>
          <w:rFonts w:ascii="Times New Roman" w:hAnsi="Times New Roman" w:cs="Times New Roman"/>
          <w:sz w:val="24"/>
          <w:szCs w:val="24"/>
          <w:lang w:val="en-GB"/>
        </w:rPr>
        <w:t>s and Management and Enterprise</w:t>
      </w:r>
      <w:r w:rsidR="00C7770C" w:rsidRPr="00C7770C">
        <w:rPr>
          <w:rFonts w:ascii="Times New Roman" w:hAnsi="Times New Roman" w:cs="Times New Roman"/>
          <w:sz w:val="24"/>
          <w:szCs w:val="24"/>
          <w:lang w:val="en-GB"/>
        </w:rPr>
        <w:t>»</w:t>
      </w:r>
      <w:r w:rsidRPr="00C7770C">
        <w:rPr>
          <w:rFonts w:ascii="Times New Roman" w:hAnsi="Times New Roman" w:cs="Times New Roman"/>
          <w:sz w:val="24"/>
          <w:szCs w:val="24"/>
          <w:lang w:val="en-GB"/>
        </w:rPr>
        <w:t xml:space="preserve"> of the Faculty of Economics and Management of the </w:t>
      </w:r>
      <w:proofErr w:type="spellStart"/>
      <w:r w:rsidRPr="00C7770C">
        <w:rPr>
          <w:rFonts w:ascii="Times New Roman" w:hAnsi="Times New Roman" w:cs="Times New Roman"/>
          <w:sz w:val="24"/>
          <w:szCs w:val="24"/>
          <w:lang w:val="en-GB"/>
        </w:rPr>
        <w:t>Yanka</w:t>
      </w:r>
      <w:proofErr w:type="spellEnd"/>
      <w:r w:rsidRPr="00C7770C">
        <w:rPr>
          <w:rFonts w:ascii="Times New Roman" w:hAnsi="Times New Roman" w:cs="Times New Roman"/>
          <w:sz w:val="24"/>
          <w:szCs w:val="24"/>
          <w:lang w:val="en-GB"/>
        </w:rPr>
        <w:t xml:space="preserve"> </w:t>
      </w:r>
      <w:proofErr w:type="spellStart"/>
      <w:r w:rsidRPr="00C7770C">
        <w:rPr>
          <w:rFonts w:ascii="Times New Roman" w:hAnsi="Times New Roman" w:cs="Times New Roman"/>
          <w:sz w:val="24"/>
          <w:szCs w:val="24"/>
          <w:lang w:val="en-GB"/>
        </w:rPr>
        <w:t>Kupala</w:t>
      </w:r>
      <w:proofErr w:type="spellEnd"/>
      <w:r w:rsidRPr="00C7770C">
        <w:rPr>
          <w:rFonts w:ascii="Times New Roman" w:hAnsi="Times New Roman" w:cs="Times New Roman"/>
          <w:sz w:val="24"/>
          <w:szCs w:val="24"/>
          <w:lang w:val="en-GB"/>
        </w:rPr>
        <w:t xml:space="preserve"> State University of Grodno, Grodno, Belarus.</w:t>
      </w:r>
      <w:proofErr w:type="gramEnd"/>
      <w:r w:rsidRPr="00C7770C">
        <w:rPr>
          <w:rFonts w:ascii="Times New Roman" w:hAnsi="Times New Roman" w:cs="Times New Roman"/>
          <w:sz w:val="24"/>
          <w:szCs w:val="24"/>
          <w:lang w:val="en-GB"/>
        </w:rPr>
        <w:t xml:space="preserve"> E-mail:</w:t>
      </w:r>
      <w:hyperlink r:id="rId11" w:history="1">
        <w:r w:rsidRPr="002703DE">
          <w:rPr>
            <w:rStyle w:val="a5"/>
            <w:rFonts w:ascii="Times New Roman" w:hAnsi="Times New Roman" w:cs="Times New Roman"/>
            <w:sz w:val="24"/>
            <w:szCs w:val="24"/>
            <w:lang w:val="en-US"/>
          </w:rPr>
          <w:t>jabelorus@mail.ru</w:t>
        </w:r>
      </w:hyperlink>
      <w:r w:rsidRPr="00C7770C">
        <w:rPr>
          <w:rFonts w:ascii="Times New Roman" w:hAnsi="Times New Roman" w:cs="Times New Roman"/>
          <w:sz w:val="24"/>
          <w:szCs w:val="24"/>
          <w:lang w:val="en-GB"/>
        </w:rPr>
        <w:t>.</w:t>
      </w:r>
    </w:p>
    <w:p w:rsidR="009F5144" w:rsidRPr="00C7770C" w:rsidRDefault="001D0845" w:rsidP="007624EA">
      <w:pPr>
        <w:spacing w:after="0" w:line="360" w:lineRule="atLeast"/>
        <w:ind w:firstLine="709"/>
        <w:jc w:val="both"/>
        <w:rPr>
          <w:rFonts w:ascii="Times New Roman" w:hAnsi="Times New Roman" w:cs="Times New Roman"/>
          <w:sz w:val="24"/>
          <w:szCs w:val="24"/>
          <w:lang w:val="en-GB"/>
        </w:rPr>
      </w:pPr>
      <w:r w:rsidRPr="00C7770C">
        <w:rPr>
          <w:rFonts w:ascii="Times New Roman" w:hAnsi="Times New Roman" w:cs="Times New Roman"/>
          <w:sz w:val="24"/>
          <w:szCs w:val="24"/>
          <w:lang w:val="en-GB"/>
        </w:rPr>
        <w:t xml:space="preserve">Supervisor: Alexander </w:t>
      </w:r>
      <w:proofErr w:type="spellStart"/>
      <w:r w:rsidRPr="00C7770C">
        <w:rPr>
          <w:rFonts w:ascii="Times New Roman" w:hAnsi="Times New Roman" w:cs="Times New Roman"/>
          <w:sz w:val="24"/>
          <w:szCs w:val="24"/>
          <w:lang w:val="en-GB"/>
        </w:rPr>
        <w:t>Nikolaevich</w:t>
      </w:r>
      <w:proofErr w:type="spellEnd"/>
      <w:r w:rsidRPr="00C7770C">
        <w:rPr>
          <w:rFonts w:ascii="Times New Roman" w:hAnsi="Times New Roman" w:cs="Times New Roman"/>
          <w:sz w:val="24"/>
          <w:szCs w:val="24"/>
          <w:lang w:val="en-GB"/>
        </w:rPr>
        <w:t xml:space="preserve"> </w:t>
      </w:r>
      <w:proofErr w:type="spellStart"/>
      <w:r w:rsidRPr="00C7770C">
        <w:rPr>
          <w:rFonts w:ascii="Times New Roman" w:hAnsi="Times New Roman" w:cs="Times New Roman"/>
          <w:sz w:val="24"/>
          <w:szCs w:val="24"/>
          <w:lang w:val="en-GB"/>
        </w:rPr>
        <w:t>Sachek</w:t>
      </w:r>
      <w:proofErr w:type="spellEnd"/>
      <w:r w:rsidRPr="00C7770C">
        <w:rPr>
          <w:rFonts w:ascii="Times New Roman" w:hAnsi="Times New Roman" w:cs="Times New Roman"/>
          <w:sz w:val="24"/>
          <w:szCs w:val="24"/>
          <w:lang w:val="en-GB"/>
        </w:rPr>
        <w:t xml:space="preserve">, Senior Lecturer, Department of Economics and Enterprise Management, Faculty of Economics and Management, </w:t>
      </w:r>
      <w:proofErr w:type="spellStart"/>
      <w:r w:rsidRPr="00C7770C">
        <w:rPr>
          <w:rFonts w:ascii="Times New Roman" w:hAnsi="Times New Roman" w:cs="Times New Roman"/>
          <w:sz w:val="24"/>
          <w:szCs w:val="24"/>
          <w:lang w:val="en-GB"/>
        </w:rPr>
        <w:t>Yanka</w:t>
      </w:r>
      <w:proofErr w:type="spellEnd"/>
      <w:r w:rsidRPr="00C7770C">
        <w:rPr>
          <w:rFonts w:ascii="Times New Roman" w:hAnsi="Times New Roman" w:cs="Times New Roman"/>
          <w:sz w:val="24"/>
          <w:szCs w:val="24"/>
          <w:lang w:val="en-GB"/>
        </w:rPr>
        <w:t xml:space="preserve"> </w:t>
      </w:r>
      <w:proofErr w:type="spellStart"/>
      <w:r w:rsidRPr="00C7770C">
        <w:rPr>
          <w:rFonts w:ascii="Times New Roman" w:hAnsi="Times New Roman" w:cs="Times New Roman"/>
          <w:sz w:val="24"/>
          <w:szCs w:val="24"/>
          <w:lang w:val="en-GB"/>
        </w:rPr>
        <w:t>Kupala</w:t>
      </w:r>
      <w:proofErr w:type="spellEnd"/>
      <w:r w:rsidRPr="00C7770C">
        <w:rPr>
          <w:rFonts w:ascii="Times New Roman" w:hAnsi="Times New Roman" w:cs="Times New Roman"/>
          <w:sz w:val="24"/>
          <w:szCs w:val="24"/>
          <w:lang w:val="en-GB"/>
        </w:rPr>
        <w:t xml:space="preserve"> State University of Grodno, Grodno, Belarus.</w:t>
      </w:r>
    </w:p>
    <w:p w:rsidR="004304E1" w:rsidRPr="00C7770C" w:rsidRDefault="004304E1" w:rsidP="007624EA">
      <w:pPr>
        <w:spacing w:after="0" w:line="360" w:lineRule="atLeast"/>
        <w:ind w:firstLine="709"/>
        <w:jc w:val="both"/>
        <w:rPr>
          <w:rFonts w:ascii="Times New Roman" w:hAnsi="Times New Roman" w:cs="Times New Roman"/>
          <w:sz w:val="24"/>
          <w:szCs w:val="24"/>
          <w:lang w:val="en-GB"/>
        </w:rPr>
      </w:pPr>
    </w:p>
    <w:p w:rsidR="00C63509" w:rsidRPr="00C7770C" w:rsidRDefault="00C63509" w:rsidP="007624EA">
      <w:pPr>
        <w:spacing w:after="0" w:line="360" w:lineRule="atLeast"/>
        <w:ind w:firstLine="709"/>
        <w:jc w:val="both"/>
        <w:rPr>
          <w:rFonts w:ascii="Times New Roman" w:hAnsi="Times New Roman" w:cs="Times New Roman"/>
          <w:sz w:val="24"/>
          <w:szCs w:val="24"/>
          <w:lang w:val="en-GB"/>
        </w:rPr>
      </w:pPr>
    </w:p>
    <w:p w:rsidR="00C63509" w:rsidRPr="00C7770C" w:rsidRDefault="00C63509" w:rsidP="007624EA">
      <w:pPr>
        <w:spacing w:after="0" w:line="360" w:lineRule="atLeast"/>
        <w:ind w:firstLine="709"/>
        <w:jc w:val="both"/>
        <w:rPr>
          <w:rFonts w:ascii="Times New Roman" w:hAnsi="Times New Roman" w:cs="Times New Roman"/>
          <w:sz w:val="24"/>
          <w:szCs w:val="24"/>
          <w:lang w:val="en-GB"/>
        </w:rPr>
      </w:pPr>
    </w:p>
    <w:p w:rsidR="00C63509" w:rsidRPr="00C7770C" w:rsidRDefault="00C63509" w:rsidP="00C63509">
      <w:pPr>
        <w:spacing w:after="0" w:line="360" w:lineRule="atLeast"/>
        <w:ind w:firstLine="709"/>
        <w:jc w:val="both"/>
        <w:rPr>
          <w:rFonts w:ascii="Times New Roman" w:hAnsi="Times New Roman" w:cs="Times New Roman"/>
          <w:i/>
          <w:sz w:val="24"/>
          <w:szCs w:val="24"/>
          <w:lang w:val="en-GB"/>
        </w:rPr>
      </w:pPr>
      <w:r w:rsidRPr="00C7770C">
        <w:rPr>
          <w:rFonts w:ascii="Times New Roman" w:hAnsi="Times New Roman" w:cs="Times New Roman"/>
          <w:sz w:val="24"/>
          <w:szCs w:val="24"/>
          <w:lang w:val="en-GB"/>
        </w:rPr>
        <w:lastRenderedPageBreak/>
        <w:t>* The list of references is prepared according to the instructions</w:t>
      </w:r>
      <w:r w:rsidR="00C7770C" w:rsidRPr="00C7770C">
        <w:rPr>
          <w:rFonts w:ascii="Times New Roman" w:hAnsi="Times New Roman" w:cs="Times New Roman"/>
          <w:sz w:val="24"/>
          <w:szCs w:val="24"/>
          <w:lang w:val="en-GB"/>
        </w:rPr>
        <w:t xml:space="preserve"> </w:t>
      </w:r>
      <w:hyperlink r:id="rId12" w:history="1">
        <w:r w:rsidRPr="00C7770C">
          <w:rPr>
            <w:rStyle w:val="a5"/>
            <w:rFonts w:ascii="Times New Roman" w:hAnsi="Times New Roman" w:cs="Times New Roman"/>
            <w:i/>
            <w:sz w:val="24"/>
            <w:szCs w:val="24"/>
            <w:lang w:val="en-GB"/>
          </w:rPr>
          <w:t>https://fem.grsu.by/wp-content/uploads/2025/10/Obraztsy-bibliografiya-s-izmeneniyami_13.10.2025.pdf</w:t>
        </w:r>
      </w:hyperlink>
      <w:r w:rsidRPr="00C7770C">
        <w:rPr>
          <w:rFonts w:ascii="Times New Roman" w:hAnsi="Times New Roman" w:cs="Times New Roman"/>
          <w:i/>
          <w:sz w:val="24"/>
          <w:szCs w:val="24"/>
          <w:lang w:val="en-GB"/>
        </w:rPr>
        <w:t xml:space="preserve"> </w:t>
      </w:r>
    </w:p>
    <w:p w:rsidR="00C63509" w:rsidRPr="00C7770C" w:rsidRDefault="00C63509" w:rsidP="007624EA">
      <w:pPr>
        <w:spacing w:after="0" w:line="360" w:lineRule="atLeast"/>
        <w:ind w:firstLine="709"/>
        <w:jc w:val="both"/>
        <w:rPr>
          <w:rFonts w:ascii="Times New Roman" w:hAnsi="Times New Roman" w:cs="Times New Roman"/>
          <w:sz w:val="24"/>
          <w:szCs w:val="24"/>
          <w:lang w:val="en-GB"/>
        </w:rPr>
      </w:pPr>
    </w:p>
    <w:sectPr w:rsidR="00C63509" w:rsidRPr="00C7770C" w:rsidSect="00C35EB7">
      <w:pgSz w:w="11907" w:h="16839" w:code="9"/>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E33" w:rsidRDefault="00107E33" w:rsidP="004D0EDE">
      <w:pPr>
        <w:spacing w:after="0" w:line="240" w:lineRule="auto"/>
      </w:pPr>
      <w:r>
        <w:separator/>
      </w:r>
    </w:p>
  </w:endnote>
  <w:endnote w:type="continuationSeparator" w:id="0">
    <w:p w:rsidR="00107E33" w:rsidRDefault="00107E33" w:rsidP="004D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E33" w:rsidRDefault="00107E33" w:rsidP="004D0EDE">
      <w:pPr>
        <w:spacing w:after="0" w:line="240" w:lineRule="auto"/>
      </w:pPr>
      <w:r>
        <w:separator/>
      </w:r>
    </w:p>
  </w:footnote>
  <w:footnote w:type="continuationSeparator" w:id="0">
    <w:p w:rsidR="00107E33" w:rsidRDefault="00107E33" w:rsidP="004D0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13839"/>
    <w:multiLevelType w:val="hybridMultilevel"/>
    <w:tmpl w:val="1E1C5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78"/>
    <w:rsid w:val="00035ABE"/>
    <w:rsid w:val="000766F0"/>
    <w:rsid w:val="00085A18"/>
    <w:rsid w:val="000B0645"/>
    <w:rsid w:val="000D1227"/>
    <w:rsid w:val="000F633C"/>
    <w:rsid w:val="00107E33"/>
    <w:rsid w:val="00116CD6"/>
    <w:rsid w:val="00174AFE"/>
    <w:rsid w:val="001D0845"/>
    <w:rsid w:val="001E5001"/>
    <w:rsid w:val="0023555C"/>
    <w:rsid w:val="002703DE"/>
    <w:rsid w:val="002762E6"/>
    <w:rsid w:val="002B6074"/>
    <w:rsid w:val="002D5C6F"/>
    <w:rsid w:val="002E567D"/>
    <w:rsid w:val="00306D17"/>
    <w:rsid w:val="00340F1B"/>
    <w:rsid w:val="003801A8"/>
    <w:rsid w:val="003C26D7"/>
    <w:rsid w:val="003F0FC5"/>
    <w:rsid w:val="00402764"/>
    <w:rsid w:val="00407490"/>
    <w:rsid w:val="004304E1"/>
    <w:rsid w:val="00434F26"/>
    <w:rsid w:val="004546BE"/>
    <w:rsid w:val="00472E8D"/>
    <w:rsid w:val="004D0EDE"/>
    <w:rsid w:val="0050202A"/>
    <w:rsid w:val="00516A83"/>
    <w:rsid w:val="00552D91"/>
    <w:rsid w:val="005538D5"/>
    <w:rsid w:val="005964D2"/>
    <w:rsid w:val="005972D9"/>
    <w:rsid w:val="005A3A4F"/>
    <w:rsid w:val="005B46AA"/>
    <w:rsid w:val="005C093E"/>
    <w:rsid w:val="005D7BA2"/>
    <w:rsid w:val="006212DB"/>
    <w:rsid w:val="0062416F"/>
    <w:rsid w:val="0063474E"/>
    <w:rsid w:val="00657B53"/>
    <w:rsid w:val="00660282"/>
    <w:rsid w:val="00663915"/>
    <w:rsid w:val="00664F3A"/>
    <w:rsid w:val="006800C9"/>
    <w:rsid w:val="00697080"/>
    <w:rsid w:val="006B2A3C"/>
    <w:rsid w:val="006C05D9"/>
    <w:rsid w:val="006D2212"/>
    <w:rsid w:val="006D69B1"/>
    <w:rsid w:val="00700060"/>
    <w:rsid w:val="0073351F"/>
    <w:rsid w:val="0073461C"/>
    <w:rsid w:val="00744220"/>
    <w:rsid w:val="007624EA"/>
    <w:rsid w:val="00783A79"/>
    <w:rsid w:val="007A33F9"/>
    <w:rsid w:val="007B7D7F"/>
    <w:rsid w:val="007C686E"/>
    <w:rsid w:val="007F04EE"/>
    <w:rsid w:val="00822A73"/>
    <w:rsid w:val="00845DEB"/>
    <w:rsid w:val="00852D0A"/>
    <w:rsid w:val="00866354"/>
    <w:rsid w:val="008B6D2A"/>
    <w:rsid w:val="008D430E"/>
    <w:rsid w:val="008D4538"/>
    <w:rsid w:val="008D7970"/>
    <w:rsid w:val="00916299"/>
    <w:rsid w:val="009737DC"/>
    <w:rsid w:val="009B6C98"/>
    <w:rsid w:val="009D7FB8"/>
    <w:rsid w:val="009E7AB3"/>
    <w:rsid w:val="009F5144"/>
    <w:rsid w:val="00A13FA9"/>
    <w:rsid w:val="00A21208"/>
    <w:rsid w:val="00A6206B"/>
    <w:rsid w:val="00A74741"/>
    <w:rsid w:val="00A8226F"/>
    <w:rsid w:val="00A87B6B"/>
    <w:rsid w:val="00AA742F"/>
    <w:rsid w:val="00AB5E46"/>
    <w:rsid w:val="00AB73F7"/>
    <w:rsid w:val="00AD46B5"/>
    <w:rsid w:val="00AD516A"/>
    <w:rsid w:val="00B37C67"/>
    <w:rsid w:val="00B6408D"/>
    <w:rsid w:val="00B7497B"/>
    <w:rsid w:val="00B81F7B"/>
    <w:rsid w:val="00BC33D1"/>
    <w:rsid w:val="00C270ED"/>
    <w:rsid w:val="00C35EB7"/>
    <w:rsid w:val="00C63509"/>
    <w:rsid w:val="00C7770C"/>
    <w:rsid w:val="00C8432F"/>
    <w:rsid w:val="00C90701"/>
    <w:rsid w:val="00CA0E1D"/>
    <w:rsid w:val="00CB14BD"/>
    <w:rsid w:val="00CC02D3"/>
    <w:rsid w:val="00CD0312"/>
    <w:rsid w:val="00CD43F9"/>
    <w:rsid w:val="00CE4A96"/>
    <w:rsid w:val="00D06533"/>
    <w:rsid w:val="00D2538A"/>
    <w:rsid w:val="00D362F3"/>
    <w:rsid w:val="00D42594"/>
    <w:rsid w:val="00D92FB3"/>
    <w:rsid w:val="00DB37C5"/>
    <w:rsid w:val="00DE561D"/>
    <w:rsid w:val="00DE680F"/>
    <w:rsid w:val="00E031E4"/>
    <w:rsid w:val="00E14AF5"/>
    <w:rsid w:val="00E27678"/>
    <w:rsid w:val="00E54B32"/>
    <w:rsid w:val="00E74D4E"/>
    <w:rsid w:val="00E9743C"/>
    <w:rsid w:val="00EB053F"/>
    <w:rsid w:val="00EC1F6F"/>
    <w:rsid w:val="00EF7782"/>
    <w:rsid w:val="00F0661D"/>
    <w:rsid w:val="00F158CF"/>
    <w:rsid w:val="00F63518"/>
    <w:rsid w:val="00F6509B"/>
    <w:rsid w:val="00F67385"/>
    <w:rsid w:val="00F847C5"/>
    <w:rsid w:val="00F91021"/>
    <w:rsid w:val="00FA619A"/>
    <w:rsid w:val="00FB1759"/>
    <w:rsid w:val="00FC4CB5"/>
    <w:rsid w:val="00FD294B"/>
    <w:rsid w:val="00FD625E"/>
    <w:rsid w:val="00FD72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3D1"/>
  </w:style>
  <w:style w:type="paragraph" w:styleId="2">
    <w:name w:val="heading 2"/>
    <w:basedOn w:val="a"/>
    <w:next w:val="a"/>
    <w:link w:val="20"/>
    <w:uiPriority w:val="9"/>
    <w:unhideWhenUsed/>
    <w:qFormat/>
    <w:rsid w:val="00C7770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E1D"/>
    <w:pPr>
      <w:ind w:left="720"/>
      <w:contextualSpacing/>
    </w:pPr>
  </w:style>
  <w:style w:type="table" w:styleId="a4">
    <w:name w:val="Table Grid"/>
    <w:basedOn w:val="a1"/>
    <w:uiPriority w:val="39"/>
    <w:rsid w:val="007A3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D0845"/>
    <w:rPr>
      <w:color w:val="0563C1" w:themeColor="hyperlink"/>
      <w:u w:val="single"/>
    </w:rPr>
  </w:style>
  <w:style w:type="paragraph" w:styleId="a6">
    <w:name w:val="Balloon Text"/>
    <w:basedOn w:val="a"/>
    <w:link w:val="a7"/>
    <w:uiPriority w:val="99"/>
    <w:semiHidden/>
    <w:unhideWhenUsed/>
    <w:rsid w:val="00AD46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46B5"/>
    <w:rPr>
      <w:rFonts w:ascii="Tahoma" w:hAnsi="Tahoma" w:cs="Tahoma"/>
      <w:sz w:val="16"/>
      <w:szCs w:val="16"/>
    </w:rPr>
  </w:style>
  <w:style w:type="paragraph" w:styleId="a8">
    <w:name w:val="header"/>
    <w:basedOn w:val="a"/>
    <w:link w:val="a9"/>
    <w:uiPriority w:val="99"/>
    <w:unhideWhenUsed/>
    <w:rsid w:val="004D0E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D0EDE"/>
  </w:style>
  <w:style w:type="paragraph" w:styleId="aa">
    <w:name w:val="footer"/>
    <w:basedOn w:val="a"/>
    <w:link w:val="ab"/>
    <w:uiPriority w:val="99"/>
    <w:unhideWhenUsed/>
    <w:rsid w:val="004D0E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0EDE"/>
  </w:style>
  <w:style w:type="character" w:customStyle="1" w:styleId="20">
    <w:name w:val="Заголовок 2 Знак"/>
    <w:basedOn w:val="a0"/>
    <w:link w:val="2"/>
    <w:uiPriority w:val="9"/>
    <w:rsid w:val="00C7770C"/>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3D1"/>
  </w:style>
  <w:style w:type="paragraph" w:styleId="2">
    <w:name w:val="heading 2"/>
    <w:basedOn w:val="a"/>
    <w:next w:val="a"/>
    <w:link w:val="20"/>
    <w:uiPriority w:val="9"/>
    <w:unhideWhenUsed/>
    <w:qFormat/>
    <w:rsid w:val="00C7770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E1D"/>
    <w:pPr>
      <w:ind w:left="720"/>
      <w:contextualSpacing/>
    </w:pPr>
  </w:style>
  <w:style w:type="table" w:styleId="a4">
    <w:name w:val="Table Grid"/>
    <w:basedOn w:val="a1"/>
    <w:uiPriority w:val="39"/>
    <w:rsid w:val="007A3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D0845"/>
    <w:rPr>
      <w:color w:val="0563C1" w:themeColor="hyperlink"/>
      <w:u w:val="single"/>
    </w:rPr>
  </w:style>
  <w:style w:type="paragraph" w:styleId="a6">
    <w:name w:val="Balloon Text"/>
    <w:basedOn w:val="a"/>
    <w:link w:val="a7"/>
    <w:uiPriority w:val="99"/>
    <w:semiHidden/>
    <w:unhideWhenUsed/>
    <w:rsid w:val="00AD46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46B5"/>
    <w:rPr>
      <w:rFonts w:ascii="Tahoma" w:hAnsi="Tahoma" w:cs="Tahoma"/>
      <w:sz w:val="16"/>
      <w:szCs w:val="16"/>
    </w:rPr>
  </w:style>
  <w:style w:type="paragraph" w:styleId="a8">
    <w:name w:val="header"/>
    <w:basedOn w:val="a"/>
    <w:link w:val="a9"/>
    <w:uiPriority w:val="99"/>
    <w:unhideWhenUsed/>
    <w:rsid w:val="004D0E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D0EDE"/>
  </w:style>
  <w:style w:type="paragraph" w:styleId="aa">
    <w:name w:val="footer"/>
    <w:basedOn w:val="a"/>
    <w:link w:val="ab"/>
    <w:uiPriority w:val="99"/>
    <w:unhideWhenUsed/>
    <w:rsid w:val="004D0E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0EDE"/>
  </w:style>
  <w:style w:type="character" w:customStyle="1" w:styleId="20">
    <w:name w:val="Заголовок 2 Знак"/>
    <w:basedOn w:val="a0"/>
    <w:link w:val="2"/>
    <w:uiPriority w:val="9"/>
    <w:rsid w:val="00C7770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2387">
      <w:bodyDiv w:val="1"/>
      <w:marLeft w:val="0"/>
      <w:marRight w:val="0"/>
      <w:marTop w:val="0"/>
      <w:marBottom w:val="0"/>
      <w:divBdr>
        <w:top w:val="none" w:sz="0" w:space="0" w:color="auto"/>
        <w:left w:val="none" w:sz="0" w:space="0" w:color="auto"/>
        <w:bottom w:val="none" w:sz="0" w:space="0" w:color="auto"/>
        <w:right w:val="none" w:sz="0" w:space="0" w:color="auto"/>
      </w:divBdr>
    </w:div>
    <w:div w:id="178757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em.grsu.by/wp-content/uploads/2025/10/Obraztsy-bibliografiya-s-izmeneniyami_13.10.20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belorus@mail.ru" TargetMode="Externa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Лист1!$B$1</c:f>
              <c:strCache>
                <c:ptCount val="1"/>
                <c:pt idx="0">
                  <c:v>промышленность</c:v>
                </c:pt>
              </c:strCache>
            </c:strRef>
          </c:tx>
          <c:spPr>
            <a:ln w="19050" cap="rnd" cmpd="sng" algn="ctr">
              <a:solidFill>
                <a:schemeClr val="dk1">
                  <a:tint val="88500"/>
                </a:schemeClr>
              </a:solidFill>
              <a:prstDash val="solid"/>
              <a:round/>
            </a:ln>
            <a:effectLst/>
          </c:spPr>
          <c:marker>
            <c:symbol val="circle"/>
            <c:size val="5"/>
            <c:spPr>
              <a:solidFill>
                <a:schemeClr val="dk1">
                  <a:tint val="88500"/>
                </a:schemeClr>
              </a:solidFill>
              <a:ln w="6350" cap="flat" cmpd="sng" algn="ctr">
                <a:solidFill>
                  <a:schemeClr val="dk1">
                    <a:tint val="88500"/>
                  </a:schemeClr>
                </a:solidFill>
                <a:prstDash val="solid"/>
                <a:round/>
              </a:ln>
              <a:effectLst/>
            </c:spPr>
          </c:marker>
          <c:xVal>
            <c:numRef>
              <c:f>Лист1!$A$2:$A$7</c:f>
              <c:numCache>
                <c:formatCode>General</c:formatCode>
                <c:ptCount val="6"/>
                <c:pt idx="0">
                  <c:v>2005</c:v>
                </c:pt>
                <c:pt idx="1">
                  <c:v>2008</c:v>
                </c:pt>
                <c:pt idx="2">
                  <c:v>2009</c:v>
                </c:pt>
                <c:pt idx="3">
                  <c:v>2010</c:v>
                </c:pt>
                <c:pt idx="4">
                  <c:v>2011</c:v>
                </c:pt>
                <c:pt idx="5">
                  <c:v>2012</c:v>
                </c:pt>
              </c:numCache>
            </c:numRef>
          </c:xVal>
          <c:yVal>
            <c:numRef>
              <c:f>Лист1!$B$2:$B$7</c:f>
              <c:numCache>
                <c:formatCode>General</c:formatCode>
                <c:ptCount val="6"/>
                <c:pt idx="0">
                  <c:v>318</c:v>
                </c:pt>
                <c:pt idx="1">
                  <c:v>371</c:v>
                </c:pt>
                <c:pt idx="2">
                  <c:v>234</c:v>
                </c:pt>
                <c:pt idx="3">
                  <c:v>324</c:v>
                </c:pt>
                <c:pt idx="4">
                  <c:v>443</c:v>
                </c:pt>
                <c:pt idx="5">
                  <c:v>437</c:v>
                </c:pt>
              </c:numCache>
            </c:numRef>
          </c:yVal>
          <c:smooth val="0"/>
          <c:extLst xmlns:c16r2="http://schemas.microsoft.com/office/drawing/2015/06/chart">
            <c:ext xmlns:c16="http://schemas.microsoft.com/office/drawing/2014/chart" uri="{C3380CC4-5D6E-409C-BE32-E72D297353CC}">
              <c16:uniqueId val="{00000000-B251-4AE2-8411-9C2423741A8B}"/>
            </c:ext>
          </c:extLst>
        </c:ser>
        <c:ser>
          <c:idx val="1"/>
          <c:order val="1"/>
          <c:tx>
            <c:strRef>
              <c:f>Лист1!$C$1</c:f>
              <c:strCache>
                <c:ptCount val="1"/>
                <c:pt idx="0">
                  <c:v>сфера услуг</c:v>
                </c:pt>
              </c:strCache>
            </c:strRef>
          </c:tx>
          <c:spPr>
            <a:ln w="19050" cap="rnd" cmpd="sng" algn="ctr">
              <a:solidFill>
                <a:schemeClr val="dk1">
                  <a:tint val="55000"/>
                </a:schemeClr>
              </a:solidFill>
              <a:prstDash val="solid"/>
              <a:round/>
            </a:ln>
            <a:effectLst/>
          </c:spPr>
          <c:marker>
            <c:symbol val="circle"/>
            <c:size val="5"/>
            <c:spPr>
              <a:solidFill>
                <a:schemeClr val="dk1">
                  <a:tint val="55000"/>
                </a:schemeClr>
              </a:solidFill>
              <a:ln w="6350" cap="flat" cmpd="sng" algn="ctr">
                <a:solidFill>
                  <a:schemeClr val="dk1">
                    <a:tint val="55000"/>
                  </a:schemeClr>
                </a:solidFill>
                <a:prstDash val="solid"/>
                <a:round/>
              </a:ln>
              <a:effectLst/>
            </c:spPr>
          </c:marker>
          <c:xVal>
            <c:numRef>
              <c:f>Лист1!$A$2:$A$7</c:f>
              <c:numCache>
                <c:formatCode>General</c:formatCode>
                <c:ptCount val="6"/>
                <c:pt idx="0">
                  <c:v>2005</c:v>
                </c:pt>
                <c:pt idx="1">
                  <c:v>2008</c:v>
                </c:pt>
                <c:pt idx="2">
                  <c:v>2009</c:v>
                </c:pt>
                <c:pt idx="3">
                  <c:v>2010</c:v>
                </c:pt>
                <c:pt idx="4">
                  <c:v>2011</c:v>
                </c:pt>
                <c:pt idx="5">
                  <c:v>2012</c:v>
                </c:pt>
              </c:numCache>
            </c:numRef>
          </c:xVal>
          <c:yVal>
            <c:numRef>
              <c:f>Лист1!$C$2:$C$7</c:f>
              <c:numCache>
                <c:formatCode>General</c:formatCode>
                <c:ptCount val="6"/>
                <c:pt idx="0">
                  <c:v>0</c:v>
                </c:pt>
                <c:pt idx="1">
                  <c:v>25</c:v>
                </c:pt>
                <c:pt idx="2">
                  <c:v>16</c:v>
                </c:pt>
                <c:pt idx="3">
                  <c:v>25</c:v>
                </c:pt>
                <c:pt idx="4">
                  <c:v>24</c:v>
                </c:pt>
                <c:pt idx="5">
                  <c:v>45</c:v>
                </c:pt>
              </c:numCache>
            </c:numRef>
          </c:yVal>
          <c:smooth val="0"/>
          <c:extLst xmlns:c16r2="http://schemas.microsoft.com/office/drawing/2015/06/chart">
            <c:ext xmlns:c16="http://schemas.microsoft.com/office/drawing/2014/chart" uri="{C3380CC4-5D6E-409C-BE32-E72D297353CC}">
              <c16:uniqueId val="{00000001-B251-4AE2-8411-9C2423741A8B}"/>
            </c:ext>
          </c:extLst>
        </c:ser>
        <c:dLbls>
          <c:showLegendKey val="0"/>
          <c:showVal val="0"/>
          <c:showCatName val="0"/>
          <c:showSerName val="0"/>
          <c:showPercent val="0"/>
          <c:showBubbleSize val="0"/>
        </c:dLbls>
        <c:axId val="156719744"/>
        <c:axId val="156702976"/>
      </c:scatterChart>
      <c:valAx>
        <c:axId val="15671974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6702976"/>
        <c:crosses val="autoZero"/>
        <c:crossBetween val="midCat"/>
      </c:valAx>
      <c:valAx>
        <c:axId val="156702976"/>
        <c:scaling>
          <c:orientation val="minMax"/>
          <c:max val="45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in"/>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6719744"/>
        <c:crossesAt val="2004"/>
        <c:crossBetween val="midCat"/>
        <c:majorUnit val="6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Промышленность</a:t>
            </a:r>
          </a:p>
        </c:rich>
      </c:tx>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752787612957776"/>
          <c:y val="0.25736321421360792"/>
          <c:w val="0.4409935102219581"/>
          <c:h val="0.55063934315902829"/>
        </c:manualLayout>
      </c:layout>
      <c:pie3DChart>
        <c:varyColors val="1"/>
        <c:ser>
          <c:idx val="0"/>
          <c:order val="0"/>
          <c:dPt>
            <c:idx val="0"/>
            <c:bubble3D val="0"/>
            <c:explosion val="19"/>
            <c:spPr>
              <a:solidFill>
                <a:schemeClr val="accent3">
                  <a:shade val="5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57C5-4CB1-B10B-F18E49F9F22B}"/>
              </c:ext>
            </c:extLst>
          </c:dPt>
          <c:dPt>
            <c:idx val="1"/>
            <c:bubble3D val="0"/>
            <c:spPr>
              <a:solidFill>
                <a:schemeClr val="accent3">
                  <a:shade val="7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57C5-4CB1-B10B-F18E49F9F22B}"/>
              </c:ext>
            </c:extLst>
          </c:dPt>
          <c:dPt>
            <c:idx val="2"/>
            <c:bubble3D val="0"/>
            <c:spPr>
              <a:solidFill>
                <a:schemeClr val="accent3">
                  <a:shade val="9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57C5-4CB1-B10B-F18E49F9F22B}"/>
              </c:ext>
            </c:extLst>
          </c:dPt>
          <c:dPt>
            <c:idx val="3"/>
            <c:bubble3D val="0"/>
            <c:spPr>
              <a:solidFill>
                <a:schemeClr val="accent3">
                  <a:tint val="9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57C5-4CB1-B10B-F18E49F9F22B}"/>
              </c:ext>
            </c:extLst>
          </c:dPt>
          <c:dPt>
            <c:idx val="4"/>
            <c:bubble3D val="0"/>
            <c:spPr>
              <a:solidFill>
                <a:schemeClr val="accent3">
                  <a:tint val="7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57C5-4CB1-B10B-F18E49F9F22B}"/>
              </c:ext>
            </c:extLst>
          </c:dPt>
          <c:dPt>
            <c:idx val="5"/>
            <c:bubble3D val="0"/>
            <c:spPr>
              <a:solidFill>
                <a:schemeClr val="accent3">
                  <a:tint val="5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57C5-4CB1-B10B-F18E49F9F22B}"/>
              </c:ext>
            </c:extLst>
          </c:dPt>
          <c:dLbls>
            <c:dLbl>
              <c:idx val="1"/>
              <c:layout>
                <c:manualLayout>
                  <c:x val="1.8537401574803148E-2"/>
                  <c:y val="-0.13267643627879858"/>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7C5-4CB1-B10B-F18E49F9F22B}"/>
                </c:ext>
              </c:extLst>
            </c:dLbl>
            <c:dLbl>
              <c:idx val="5"/>
              <c:layout>
                <c:manualLayout>
                  <c:x val="1.2560367454068241E-2"/>
                  <c:y val="9.3033318751822733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7C5-4CB1-B10B-F18E49F9F22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Лист1!$B$3:$B$8</c:f>
              <c:strCache>
                <c:ptCount val="6"/>
                <c:pt idx="0">
                  <c:v>собственные</c:v>
                </c:pt>
                <c:pt idx="1">
                  <c:v>республиканский бюджет</c:v>
                </c:pt>
                <c:pt idx="2">
                  <c:v>местный бюджет</c:v>
                </c:pt>
                <c:pt idx="3">
                  <c:v>кредиты и займы</c:v>
                </c:pt>
                <c:pt idx="4">
                  <c:v>иностранные инвестиции</c:v>
                </c:pt>
                <c:pt idx="5">
                  <c:v>прочие</c:v>
                </c:pt>
              </c:strCache>
            </c:strRef>
          </c:cat>
          <c:val>
            <c:numRef>
              <c:f>Лист1!$C$3:$C$8</c:f>
              <c:numCache>
                <c:formatCode>General</c:formatCode>
                <c:ptCount val="6"/>
                <c:pt idx="0">
                  <c:v>48</c:v>
                </c:pt>
                <c:pt idx="1">
                  <c:v>6.5</c:v>
                </c:pt>
                <c:pt idx="2">
                  <c:v>0.1</c:v>
                </c:pt>
                <c:pt idx="3">
                  <c:v>29</c:v>
                </c:pt>
                <c:pt idx="4">
                  <c:v>15.6</c:v>
                </c:pt>
                <c:pt idx="5">
                  <c:v>0.8</c:v>
                </c:pt>
              </c:numCache>
            </c:numRef>
          </c:val>
          <c:extLst xmlns:c16r2="http://schemas.microsoft.com/office/drawing/2015/06/chart">
            <c:ext xmlns:c16="http://schemas.microsoft.com/office/drawing/2014/chart" uri="{C3380CC4-5D6E-409C-BE32-E72D297353CC}">
              <c16:uniqueId val="{0000000C-57C5-4CB1-B10B-F18E49F9F22B}"/>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9985979600651183"/>
          <c:y val="0.20673158712303819"/>
          <c:w val="0.27988703943652615"/>
          <c:h val="0.6734758155230596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no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CEC1D-92CE-41AF-80EE-C3CECF9E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697</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Nastassia</cp:lastModifiedBy>
  <cp:revision>8</cp:revision>
  <cp:lastPrinted>2014-03-26T19:44:00Z</cp:lastPrinted>
  <dcterms:created xsi:type="dcterms:W3CDTF">2021-03-03T22:23:00Z</dcterms:created>
  <dcterms:modified xsi:type="dcterms:W3CDTF">2026-03-16T08:30:00Z</dcterms:modified>
</cp:coreProperties>
</file>